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12.10.2026  |  6 Studien  |  mental.m-vf.de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Argentinien: 30 Jahre Deinstitutionalisierung reduzierten stationäre Verweildauer massiv</w:t>
      </w:r>
    </w:p>
    <w:p>
      <w:r>
        <w:rPr>
          <w:i/>
          <w:color w:val="666666"/>
          <w:sz w:val="18"/>
        </w:rPr>
        <w:t>Gargoloff PD et al.  ·  Vertex  ·  10.10.2026  ·  PMID 42858135</w:t>
      </w:r>
    </w:p>
    <w:p>
      <w:r>
        <w:t>Vergleichende Analyse von vier Querschnittserhebungen (1995, 2009, 2021, 2023) in einem argentinischen Psychiatrie-Krankenhaus dokumentierte die Entwicklung der Langzeitversorgung während der Transition zu gemeindenaher Versorgung.</w:t>
      </w:r>
    </w:p>
    <w:p>
      <w:r>
        <w:rPr>
          <w:b/>
        </w:rPr>
        <w:t xml:space="preserve">Ergebnis: </w:t>
      </w:r>
      <w:r>
        <w:t>Patienten in Langzeitaufenthalten sanken von 1.048 auf 86, Stationen von 23 auf 5. Aber 2023 waren 67,4% länger als 20 Jahre hospitalisiert. Schizophrenie blieb dominierend (44–53%), intellektuelle Behinderung stieg von 28% auf 44%. Der Rückgang deutet teilweise auf Transinstitutionalisierung hin, nicht vollständige Deinstitutionalisierung.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Argentinien - vergleichbar mit DACH bei Reformprozessen, zeigt Grenzen von reiner Bettenzahl-Reduktion</w:t>
      </w:r>
    </w:p>
    <w:p>
      <w:r>
        <w:rPr>
          <w:color w:val="5A7D3A"/>
          <w:sz w:val="18"/>
        </w:rPr>
        <w:t>https://pubmed.ncbi.nlm.nih.gov/42858135/</w:t>
      </w:r>
    </w:p>
    <w:p>
      <w:pPr>
        <w:pStyle w:val="Heading2"/>
      </w:pPr>
      <w:r>
        <w:t>Maladaptive Coping bei geflüchteten Kindern erhöhte Traumasymptome</w:t>
      </w:r>
    </w:p>
    <w:p>
      <w:r>
        <w:rPr>
          <w:i/>
          <w:color w:val="666666"/>
          <w:sz w:val="18"/>
        </w:rPr>
        <w:t>Abanoz E et al.  ·  BMC Psychol  ·  10.08.2026  ·  PMID 42850659</w:t>
      </w:r>
    </w:p>
    <w:p>
      <w:r>
        <w:t>Querschnittstudie an 50 Ahiska-türkischen Kindern und Jugendlichen in der Türkei nach Flucht vor dem Ukraine-Krieg untersuchte die Zusammenhänge zwischen Traumabelastung (Kind, Eltern, Familie), Bewältigungsmuster und psychischen Symptomen.</w:t>
      </w:r>
    </w:p>
    <w:p>
      <w:r>
        <w:rPr>
          <w:b/>
        </w:rPr>
        <w:t xml:space="preserve">Ergebnis: </w:t>
      </w:r>
      <w:r>
        <w:t>Maladaptive Bewältigung war der konsistenteste Prädiktor für Traumasymptome (B=0,57, p=0,024). Familiäre Traumabelastung korrelierte mit allgemeinem Stress. Die Studie identifizierte hilflose und unterwürfige Bewältigungsmuster als therapeutische Ansatzpunkte.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- kulturell ähnliche Flüchtlingspopulation, traumainformierte Interventionen übertragbar</w:t>
      </w:r>
    </w:p>
    <w:p>
      <w:r>
        <w:rPr>
          <w:color w:val="5A7D3A"/>
          <w:sz w:val="18"/>
        </w:rPr>
        <w:t>https://pubmed.ncbi.nlm.nih.gov/42850659/</w:t>
      </w:r>
    </w:p>
    <w:p>
      <w:pPr>
        <w:pStyle w:val="Heading2"/>
      </w:pPr>
      <w:r>
        <w:t>GLP-1-Agonisten bei bipolarer Störung mit Nierenkrankheit reduzierten Hospitalisierungen</w:t>
      </w:r>
    </w:p>
    <w:p>
      <w:r>
        <w:rPr>
          <w:i/>
          <w:color w:val="666666"/>
          <w:sz w:val="18"/>
        </w:rPr>
        <w:t>Singh B et al.  ·  J Clin Psychiatry  ·  05.10.2026  ·  PMID 42848524</w:t>
      </w:r>
    </w:p>
    <w:p>
      <w:r>
        <w:t>Real-world Kohortenstudie (TriNetX-Daten) verglich GLP-1-Rezeptoragonisten (z.B. Semaglutid) mit DPP-4-Hemmern und RAAS-Inhibitoren bei Erwachsenen mit bipolarer Störung und chronischer Nierenkrankheit (Stadium ≤3) bezüglich Nierenersatztherapie-Bedarf und Gesundheitsnutzung über 5 Jahre.</w:t>
      </w:r>
    </w:p>
    <w:p>
      <w:r>
        <w:rPr>
          <w:b/>
        </w:rPr>
        <w:t xml:space="preserve">Ergebnis: </w:t>
      </w:r>
      <w:r>
        <w:t>Gegenüber DPP-4-Hemmern: GLP-1-RA assoziiert mit niedrigerem KRT-Risiko (adjustiertes HR 0,56, 95%-KI 0,50–0,64); nach Propensity-Score-Matching 5-Jahres-KRT-freie Überlebensrate 87,93% vs. 84,63% (p&lt;0,001). Nutzen konsistent über Geschlecht, Rasse und Psychopharmaka-Subgruppen einschließlich Lithium.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mit Medicare-Daten – Befund der niedrigeren Hospitalisierung breit übertragbar, Medikamentenverfügbarkeit in Deutschland unterschiedlich</w:t>
      </w:r>
    </w:p>
    <w:p>
      <w:r>
        <w:rPr>
          <w:color w:val="5A7D3A"/>
          <w:sz w:val="18"/>
        </w:rPr>
        <w:t>https://pubmed.ncbi.nlm.nih.gov/42848524/</w:t>
      </w:r>
    </w:p>
    <w:p>
      <w:pPr>
        <w:pStyle w:val="Heading2"/>
      </w:pPr>
      <w:r>
        <w:t>Italien: Zwei-Injektionen-Start bei Aripiprazol-Monatsformulierung praktisch umgesetzt</w:t>
      </w:r>
    </w:p>
    <w:p>
      <w:r>
        <w:rPr>
          <w:i/>
          <w:color w:val="666666"/>
          <w:sz w:val="18"/>
        </w:rPr>
        <w:t>Yildirim M et al.  ·  Riv Psichiatr  ·  Sept. 2026  ·  PMID 42847034</w:t>
      </w:r>
    </w:p>
    <w:p>
      <w:r>
        <w:t>Nicht-interventionelle europäische Online-Umfrage unter Ärzten und Pflegefachpersonen zu Verschreibungs- und Verabreichungspraxis von Aripiprazol-Monatsformulierung (AOM 400) mit Zwei-Injektionen-Start (TIS) in Italien, wo die Adoption besonders hoch ist.</w:t>
      </w:r>
    </w:p>
    <w:p>
      <w:r>
        <w:rPr>
          <w:b/>
        </w:rPr>
        <w:t xml:space="preserve">Ergebnis: </w:t>
      </w:r>
      <w:r>
        <w:t>Von 108 italienischen Fachpersonen (47,2% aller Teilnehmer): Gründe für TIS-Nutzung – schlechte Adhärenz (81,5%), Patientenpräferenz (50,0%), Rückfall (42,6%). Barrieren – Patientenunwilligkeit zweier Injektionen (36,1%), Verträglichkeitsbedenken (24,1%). 85,2% stimmten zu, dass TIS zufriedenstellende Ergebnisse erreicht, 82,4% fanden Verabreichung einfach, 69,4% sahen ähnliches Sicherheitsprofil wie klassischer Start.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vergleichbares Sozialversicherungssystem, praktische Umsetzung in ähnlichen Strukturen</w:t>
      </w:r>
    </w:p>
    <w:p>
      <w:r>
        <w:rPr>
          <w:color w:val="5A7D3A"/>
          <w:sz w:val="18"/>
        </w:rPr>
        <w:t>https://pubmed.ncbi.nlm.nih.gov/42847034/</w:t>
      </w:r>
    </w:p>
    <w:p>
      <w:pPr>
        <w:pStyle w:val="Heading2"/>
      </w:pPr>
      <w:r>
        <w:t>Europäische Datenschutzharmonisierung: Opt-out-Regeln scheitern an nationalen Umsetzungen</w:t>
      </w:r>
    </w:p>
    <w:p>
      <w:r>
        <w:rPr>
          <w:i/>
          <w:color w:val="666666"/>
          <w:sz w:val="18"/>
        </w:rPr>
        <w:t>Martani A et al.  ·  Health Policy  ·  06.09.2026  ·  PMID 42731292</w:t>
      </w:r>
    </w:p>
    <w:p>
      <w:r>
        <w:t>Analyse der neuen Europäischen Gesundheitsdatenraum-Verordnung (EHDS, Kraft ab 2025) mit Fokus auf die geplante Harmonisierung von Opt-out-Regelungen für Datenwiederverwertung in Forschung. Vergleich früherer nationaler Implementierungen ähnlicher Policies in ausgewählten EU-Ländern.</w:t>
      </w:r>
    </w:p>
    <w:p>
      <w:r>
        <w:rPr>
          <w:b/>
        </w:rPr>
        <w:t xml:space="preserve">Ergebnis: </w:t>
      </w:r>
      <w:r>
        <w:t>Trotz EHDS-Einigung auf Opt-out-Regel zeigen frühere Erfahrungen aus ähnlichen Datenschutzregelungen in Dänemark, Deutschland, Italien und der Schweiz: wahre Harmonisierung scheitert in der Umsetzungsphase. Nationale Besonderheiten (Datenschutzkultur, Regulatorik, Infrastruktur) führen zu erheblichen Divergenzen trotz gleicher formaler Regeln.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inkl. Deutschland – EHDS und Gesundheitsdatennutzungsgesetz betreffen direktes deutsches System</w:t>
      </w:r>
    </w:p>
    <w:p>
      <w:r>
        <w:rPr>
          <w:color w:val="5A7D3A"/>
          <w:sz w:val="18"/>
        </w:rPr>
        <w:t>https://pubmed.ncbi.nlm.nih.gov/42731292/</w:t>
      </w:r>
    </w:p>
    <w:p>
      <w:pPr>
        <w:pStyle w:val="Heading2"/>
      </w:pPr>
      <w:r>
        <w:t>Frankreich: Lokale Psyche-Räte als Modell partizipativer Versorgungssteuerung</w:t>
      </w:r>
    </w:p>
    <w:p>
      <w:r>
        <w:rPr>
          <w:i/>
          <w:color w:val="666666"/>
          <w:sz w:val="18"/>
        </w:rPr>
        <w:t>Bilal O et al.  ·  Sante Publique  ·  2026  ·  PMID 42675004</w:t>
      </w:r>
    </w:p>
    <w:p>
      <w:r>
        <w:t>Qualitative Analyse der französischen CLSM (Conseil Local de Santé Mentale) als Mechanismen für territoriale, partizipative Psyche-Governance in Paris und anderen Regionen.</w:t>
      </w:r>
    </w:p>
    <w:p>
      <w:r>
        <w:rPr>
          <w:b/>
        </w:rPr>
        <w:t xml:space="preserve">Ergebnis: </w:t>
      </w:r>
      <w:r>
        <w:t>CLSM verkörpern intersektorale, territorial verankerte Ansätze, scheitern aber an strukturellen Spannungen: fehlende institutionelle Anerkennung, fehlende nachhaltige Ressourcen, unzureichende Beteiligung von Betroffenen. Empfehlung: politische, organisatorische und ethische Bedingungen für geteilte Governance schaffen.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- vergleichbare öffentliche Gesundheitsstruktur, dezentrales Modell relevant für regionale Besonderheiten</w:t>
      </w:r>
    </w:p>
    <w:p>
      <w:r>
        <w:rPr>
          <w:color w:val="5A7D3A"/>
          <w:sz w:val="18"/>
        </w:rPr>
        <w:t>https://pubmed.ncbi.nlm.nih.gov/42675004/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