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30.10.2026  |  6 Studien  |  mental.m-vf.de</w:t>
      </w:r>
    </w:p>
    <w:p>
      <w:pPr>
        <w:pStyle w:val="Heading1"/>
      </w:pPr>
      <w:r>
        <w:t>Aufgenommen am 30.10.2026</w:t>
      </w:r>
    </w:p>
    <w:p>
      <w:pPr>
        <w:pStyle w:val="Heading2"/>
      </w:pPr>
      <w:r>
        <w:t>Finanzielle Schwierigkeiten treten Monate vor Offenbarung psychischer Erkrankungen auf</w:t>
      </w:r>
    </w:p>
    <w:p>
      <w:r>
        <w:rPr>
          <w:i/>
          <w:color w:val="666666"/>
          <w:sz w:val="18"/>
        </w:rPr>
        <w:t>Trendl A et al.  ·  JAMA Netw Open  ·  01.10.2026  ·  PMID 42954989</w:t>
      </w:r>
    </w:p>
    <w:p>
      <w:r>
        <w:t>Fall-Kontroll-Studie mit 18.428 britischen Bankkunden, die eine psychische Erkrankung offenbarten (matched 1:3 mit Kontrollen), mittels Banking-Daten zu finanziellen Indikatoren 36 Monate vor Offenbarung.</w:t>
      </w:r>
    </w:p>
    <w:p>
      <w:r>
        <w:rPr>
          <w:b/>
        </w:rPr>
        <w:t xml:space="preserve">Ergebnis: </w:t>
      </w:r>
      <w:r>
        <w:t>Fälle zeigten bis 36 Monate präoffenbarungsbedingt höhere Sozialhilfeeinnahmen (Koeffizient: 0,80), höhere finanzielle Belastung (Credit Scores: -0,52), erhöhte Kontoüberziehungsnutzung (0,49) und häufigere Bankinteraktionen (0,56) versus Kontrollen. Muster waren über Diagnosegruppen hinweg konsistent (Varianzzerlegung: 88 % der Varianz zwischen Finanzindikatoren, &lt; 1 % durch Diagnose erklärt).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Bankdaten als objektive Versorgungsindikatoren, für deutsche Kassendatenforschung perspektivisch adaptierbar.</w:t>
      </w:r>
    </w:p>
    <w:p>
      <w:r>
        <w:rPr>
          <w:color w:val="5A7D3A"/>
          <w:sz w:val="18"/>
        </w:rPr>
        <w:t>https://pubmed.ncbi.nlm.nih.gov/42954989/</w:t>
      </w:r>
    </w:p>
    <w:p>
      <w:pPr>
        <w:pStyle w:val="Heading2"/>
      </w:pPr>
      <w:r>
        <w:t>Zugehörigkeitsgefühl vorhersagend für Studentisches Wohlbefinden – Gezielte Hochschulenwicklung nötig</w:t>
      </w:r>
    </w:p>
    <w:p>
      <w:r>
        <w:rPr>
          <w:i/>
          <w:color w:val="666666"/>
          <w:sz w:val="18"/>
        </w:rPr>
        <w:t>McGrath A et al.  ·  Health Promot Int  ·  01.09.2026  ·  PMID 42944778</w:t>
      </w:r>
    </w:p>
    <w:p>
      <w:r>
        <w:t>Querschnittstudie mit 409 Studierenden einer technischen Hochschule in Irland mittels validierter Fragebögen zu Wohlbefinden, Zugehörigkeit, Einsamkeit und sozialer Vernetzung.</w:t>
      </w:r>
    </w:p>
    <w:p>
      <w:r>
        <w:rPr>
          <w:b/>
        </w:rPr>
        <w:t xml:space="preserve">Ergebnis: </w:t>
      </w:r>
      <w:r>
        <w:t>44,1 % zeigten niedriges psychisches Wohlbefinden, 55,4 % erhöhte Einsamkeit. Universitäre Zugehörigkeit war stärkster Prädiktor für Wohlbefinden (β = 0,325, p &lt; 0,001), vermittelte indirekt Einsamkeit→Wohlbefinden-Assoziation. Frauen, sexuelle Minderheiten, Erstsemester und Pendler berichteten schlechtere Outcomes. Zugehörigkeit als Schlüsselressource für Settings-basierte Gesundheitsförderung.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europäisches Hochschulsystem, Modell der Zugehörigkeit für deutsche Studentenberatung adaptierbar.</w:t>
      </w:r>
    </w:p>
    <w:p>
      <w:r>
        <w:rPr>
          <w:color w:val="5A7D3A"/>
          <w:sz w:val="18"/>
        </w:rPr>
        <w:t>https://pubmed.ncbi.nlm.nih.gov/42944778/</w:t>
      </w:r>
    </w:p>
    <w:p>
      <w:pPr>
        <w:pStyle w:val="Heading2"/>
      </w:pPr>
      <w:r>
        <w:t>Schulweite Handyverbote: Keine Besserung der Jugendlichen-Psyche messbar</w:t>
      </w:r>
    </w:p>
    <w:p>
      <w:r>
        <w:rPr>
          <w:i/>
          <w:color w:val="666666"/>
          <w:sz w:val="18"/>
        </w:rPr>
        <w:t>Bonilla Aparicio E et al.  ·  JAMA Netw Open  ·  01.10.2026  ·  PMID 42944682</w:t>
      </w:r>
    </w:p>
    <w:p>
      <w:r>
        <w:t>Wiederholte Querschnittstudie (Difference-in-Differences) mit 23.938 Jugendlichen (13–15 Jahre) aus 70 isländischen Schulen; 22 Schulen führten zwischen 2018 und 2023 Handyverbote ein; Erhebungen 2016, 2018, 2023.</w:t>
      </w:r>
    </w:p>
    <w:p>
      <w:r>
        <w:rPr>
          <w:b/>
        </w:rPr>
        <w:t xml:space="preserve">Ergebnis: </w:t>
      </w:r>
      <w:r>
        <w:t>Schulische Handyverbote waren nicht assoziiert mit bedeutsamen Veränderungen depressiver Symptome (β = 0,65 [95 % KI, 0,01–1,30]), Angst (β = 0,21 [95 % KI, -0,08–0,50]), Feindseligeit (β = 0,23 [95 % KI, -0,12–0,59]) oder psychischem Wohlbefinden (β = -0,52 [95 % KI, -1,08–0,03]). Sekundäroutcomes (Peerunterstützung, Bildschirmzeit, Mobbing) zeigten ähnliche Muster ohne Unterschiede zwischen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Bevölkerungsdaten, isolierte Schulmaßnahmen ohne systemische Unterstützung offenbar insuffizient.</w:t>
      </w:r>
    </w:p>
    <w:p>
      <w:r>
        <w:rPr>
          <w:color w:val="5A7D3A"/>
          <w:sz w:val="18"/>
        </w:rPr>
        <w:t>https://pubmed.ncbi.nlm.nih.gov/42944682/</w:t>
      </w:r>
    </w:p>
    <w:p>
      <w:pPr>
        <w:pStyle w:val="Heading2"/>
      </w:pPr>
      <w:r>
        <w:t>Trauerprozess von Studierenden: Aktive Mediennutzung verstärkt Trauer und psychische Belastung</w:t>
      </w:r>
    </w:p>
    <w:p>
      <w:r>
        <w:rPr>
          <w:i/>
          <w:color w:val="666666"/>
          <w:sz w:val="18"/>
        </w:rPr>
        <w:t>Gerrits C et al.  ·  Front Public Health  ·  09.10.2026  ·  PMID 42920520</w:t>
      </w:r>
    </w:p>
    <w:p>
      <w:r>
        <w:t>Querschnittstudie mit 270 trauernden Studierenden (18–28 Jahre) aus Belgien zu Zusammenhängen zwischen Nutzungsmotiven in sozialen Medien, Trauerprozess und psychischer Gesundheit.</w:t>
      </w:r>
    </w:p>
    <w:p>
      <w:r>
        <w:rPr>
          <w:b/>
        </w:rPr>
        <w:t xml:space="preserve">Ergebnis: </w:t>
      </w:r>
      <w:r>
        <w:t>Trauerbezogene Aktivität in sozialen Medien war positiv assoziiert mit stärkeren Trauersymptomen und intensiveren Weiterbindungen an Verstorbene (r = positiv, p &lt; .001); wahrgenommene Unterstützung durch soziale Medien korrelierte mit schwerwiegenderem psychischen Stress. Personen mit höherem Grief-related Social Media Use zeigten erhöhtes Risiko für Trauer und psychische Störungen.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Hochschuldaten, europäischer Kontext, Präventionsansätze für Studentenberatung relevant.</w:t>
      </w:r>
    </w:p>
    <w:p>
      <w:r>
        <w:rPr>
          <w:color w:val="5A7D3A"/>
          <w:sz w:val="18"/>
        </w:rPr>
        <w:t>https://pubmed.ncbi.nlm.nih.gov/42920520/</w:t>
      </w:r>
    </w:p>
    <w:p>
      <w:pPr>
        <w:pStyle w:val="Heading2"/>
      </w:pPr>
      <w:r>
        <w:t>Psychische Belastung im Esports: Depressivität und Suchtmerkmale als Kernindikatoren</w:t>
      </w:r>
    </w:p>
    <w:p>
      <w:r>
        <w:rPr>
          <w:i/>
          <w:color w:val="666666"/>
          <w:sz w:val="18"/>
        </w:rPr>
        <w:t>Van Ruysevelt L et al.  ·  BMC Psychol  ·  19.10.2026  ·  PMID 42897689</w:t>
      </w:r>
    </w:p>
    <w:p>
      <w:r>
        <w:t>Querschnittstudie mit 1.025 Esports-Spielern aus über 60 Ländern mittels Netzwerkanalyse zur Erfassung psychischer Belastung, Müdigkeit, Schlafprobleme und Gaming-Suchtverhalten.</w:t>
      </w:r>
    </w:p>
    <w:p>
      <w:r>
        <w:rPr>
          <w:b/>
        </w:rPr>
        <w:t xml:space="preserve">Ergebnis: </w:t>
      </w:r>
      <w:r>
        <w:t>Game-related Thought Preoccupation (ein Kernmerkmal der Spielstörung) erwies sich als robustes Zielkonstrukt downstream psychosozialer Indikatoren; depressive Stimmung zeigte upstream-Position im Netzwerk. Die Netzwerkkarte zeigt, dass mentale Erschöpfung eine verbindende Position zwischen affektiven und Schlafvariablen einnimmt, was auf deren zentrale Rolle bei Training, Recovery und Schlaf hinweist.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Qualitatives Netzwerk-Mapping; übertragbar für Versorgungsforschung zu computergestützten Leistungsumgebungen.</w:t>
      </w:r>
    </w:p>
    <w:p>
      <w:r>
        <w:rPr>
          <w:color w:val="5A7D3A"/>
          <w:sz w:val="18"/>
        </w:rPr>
        <w:t>https://pubmed.ncbi.nlm.nih.gov/42897689/</w:t>
      </w:r>
    </w:p>
    <w:p>
      <w:pPr>
        <w:pStyle w:val="Heading2"/>
      </w:pPr>
      <w:r>
        <w:t>Betriebliche Wohlfahrt reduziert Work-Life-Konflikt, aber nicht für Frauen gleichermaßen wirksam</w:t>
      </w:r>
    </w:p>
    <w:p>
      <w:r>
        <w:rPr>
          <w:i/>
          <w:color w:val="666666"/>
          <w:sz w:val="18"/>
        </w:rPr>
        <w:t>Valmori A et al.  ·  BMC Psychol  ·  24.07.2026  ·  PMID 42897669</w:t>
      </w:r>
    </w:p>
    <w:p>
      <w:r>
        <w:t>Querschnittstudie mit 7.180 Arbeitnehmern aus vier italienischen Unternehmen (2020–2024) zur Wirkung von Welfare-Programmen auf psychische Gesundheit durch Reduktion von Work-Life-Konflikt, geschlechtsspezifische Analyse.</w:t>
      </w:r>
    </w:p>
    <w:p>
      <w:r>
        <w:rPr>
          <w:b/>
        </w:rPr>
        <w:t xml:space="preserve">Ergebnis: </w:t>
      </w:r>
      <w:r>
        <w:t>Zufriedenheit mit Welfare war assoziiert mit geringerem Work-to-Life-Konflikt und besserem psychischem Wohlbefinden für beide Geschlechter. Jedoch zeigte sich eine Geschlechtsinteraktion: Welfare-Programme waren weniger wirksam bei Frauen zur Reduktion von Work-to-Life-Konflikt und sekundär für die Verbesserung der Gesamtgesundheit, besonders beim Life-to-Work-Konflikt persistierend.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Sozialversicherungssysteme, unmittelbar auf deutsche Betriebsräte übertragbar.</w:t>
      </w:r>
    </w:p>
    <w:p>
      <w:r>
        <w:rPr>
          <w:color w:val="5A7D3A"/>
          <w:sz w:val="18"/>
        </w:rPr>
        <w:t>https://pubmed.ncbi.nlm.nih.gov/42897669/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2026-10-30T06:00:00Z</dcterms:created>
  <dcterms:modified xsi:type="dcterms:W3CDTF">2026-10-30T06:00:00Z</dcterms:modified>
  <cp:category/>
</cp:coreProperties>
</file>