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12.09.2026  |  6 Studien  |  mental.m-vf.de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Multisektorale Zusammenarbeit etablierte Basis für schwedische Gesamtstrategie zur Suizidprävention</w:t>
      </w:r>
    </w:p>
    <w:p>
      <w:r>
        <w:rPr>
          <w:i/>
          <w:color w:val="666666"/>
          <w:sz w:val="18"/>
        </w:rPr>
        <w:t>Becker L et al.  ·  Glob Health Action  ·  11.09.2026  ·  PMID 42725455</w:t>
      </w:r>
    </w:p>
    <w:p>
      <w:r>
        <w:t>Qualitative Studie über einen Prozess zur Entwicklung einer nationalen Strategie für psychische Gesundheit und Suizidprävention in Schweden durch 26 Regierungsbehörden.</w:t>
      </w:r>
    </w:p>
    <w:p>
      <w:r>
        <w:rPr>
          <w:b/>
        </w:rPr>
        <w:t xml:space="preserve">Ergebnis: </w:t>
      </w:r>
      <w:r>
        <w:t>Die multisektorale Zusammenarbeit führte zu gegenseitigem Lernen zwischen Behörden und schuf eine Grundlage für implementierungsorientierte Zusammenarbeit; Respondenten betonten die Bedeutung des Prozesses über die Strategieinhalte hinaus.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 Dezentralisierung wie deutsche Ländermodelle für Krisendienste und Prävention.</w:t>
      </w:r>
    </w:p>
    <w:p>
      <w:r>
        <w:rPr>
          <w:color w:val="5A7D3A"/>
          <w:sz w:val="18"/>
        </w:rPr>
        <w:t>https://pubmed.ncbi.nlm.nih.gov/42725455/</w:t>
      </w:r>
    </w:p>
    <w:p>
      <w:pPr>
        <w:pStyle w:val="Heading2"/>
      </w:pPr>
      <w:r>
        <w:t>Bewegungstraining reduzierte postpartale Depressionen um 0,69 Standardabweichungen</w:t>
      </w:r>
    </w:p>
    <w:p>
      <w:r>
        <w:rPr>
          <w:i/>
          <w:color w:val="666666"/>
          <w:sz w:val="18"/>
        </w:rPr>
        <w:t>Qiao JJ et al.  ·  Front Public Health  ·  27.08.2026  ·  PMID 42723886</w:t>
      </w:r>
    </w:p>
    <w:p>
      <w:r>
        <w:t>Metaanalyse von 16 randomisierten kontrollierten Studien zu Effekten von Bewegungsinterventionen auf postpartale depressive Symptome (einschließlich Mind-Body-Exercise, Aerobic, verschiedene Dauer und Format).</w:t>
      </w:r>
    </w:p>
    <w:p>
      <w:r>
        <w:rPr>
          <w:b/>
        </w:rPr>
        <w:t xml:space="preserve">Ergebnis: </w:t>
      </w:r>
      <w:r>
        <w:t>Bewegungsinterventionen waren mit signifikanter Symptomreduktion assoziiert (SMD = -0,69, 95% KI -1,02 bis -0,36); Mind-Body-Exercise zeigte stärkste Effekte, Programme ≤12 Wochen Dauer waren wirksamer als längere; Interventionen postpartal initiiert und nach vaginaler Geburt zeigten tendenziell größere Nutzen.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internationale Studien, Ergebnisse zur Bewegungsintensität und Dauer für deutsche Mutter-Kind-Versorgung relevant.</w:t>
      </w:r>
    </w:p>
    <w:p>
      <w:r>
        <w:rPr>
          <w:color w:val="5A7D3A"/>
          <w:sz w:val="18"/>
        </w:rPr>
        <w:t>https://pubmed.ncbi.nlm.nih.gov/42723886/</w:t>
      </w:r>
    </w:p>
    <w:p>
      <w:pPr>
        <w:pStyle w:val="Heading2"/>
      </w:pPr>
      <w:r>
        <w:t>Dialektische Verhaltenstherapie verbesserte Aufmerksamkeitsaspekte bei Borderline-Persönlichkeitsstörung</w:t>
      </w:r>
    </w:p>
    <w:p>
      <w:r>
        <w:rPr>
          <w:i/>
          <w:color w:val="666666"/>
          <w:sz w:val="18"/>
        </w:rPr>
        <w:t>Voelter J et al.  ·  Transl Psychiatry  ·  10.09.2026  ·  PMID 42722661</w:t>
      </w:r>
    </w:p>
    <w:p>
      <w:r>
        <w:t>Randomisierte kontrollierte Studie zu Veränderungen in Interozeption und Körperwahrnehmung nach vierwöchiger stationärer Dialektischer Verhaltenstherapie bei Patienten mit Borderline-Persönlichkeitsstörung (n=55 Intervention, n=31 Kontrolle).</w:t>
      </w:r>
    </w:p>
    <w:p>
      <w:r>
        <w:rPr>
          <w:b/>
        </w:rPr>
        <w:t xml:space="preserve">Ergebnis: </w:t>
      </w:r>
      <w:r>
        <w:t>Nach DBT verbesserte sich selbstberichtete interoceptive Aufmerksamkeit signifikant, während andere interoceptive Facetten keine signifikanten Veränderungen zeigten; Verbesserungen waren mit weniger interpersonalen Problemen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Universitätskliniken, vergleichbare stationäre Psychotherapieangebote und dokumentierte Behandlungsergebnisse.</w:t>
      </w:r>
    </w:p>
    <w:p>
      <w:r>
        <w:rPr>
          <w:color w:val="5A7D3A"/>
          <w:sz w:val="18"/>
        </w:rPr>
        <w:t>https://pubmed.ncbi.nlm.nih.gov/42722661/</w:t>
      </w:r>
    </w:p>
    <w:p>
      <w:pPr>
        <w:pStyle w:val="Heading2"/>
      </w:pPr>
      <w:r>
        <w:t>Transkranielle Magnetstimulation adjuvant zur Expositionstherapie bei behandlungsresistenter Zwangsstörung (Studienprotokoll)</w:t>
      </w:r>
    </w:p>
    <w:p>
      <w:r>
        <w:rPr>
          <w:i/>
          <w:color w:val="666666"/>
          <w:sz w:val="18"/>
        </w:rPr>
        <w:t>Postma TS et al.  ·  JMIR Res Protoc  ·  09.09.2026  ·  PMID 42715141</w:t>
      </w:r>
    </w:p>
    <w:p>
      <w:r>
        <w:t>Protokoll einer randomisierten kontrollierten Studie in niederländischen Zentren zur Effektivität und Kosteneffektivität von repetitiver transkranieller Magnetstimulation (1 Hz über prä-SMA) zusätzlich zu Expositionstherapie bei Patienten mit therapieresistenter Zwangsstörung (angestrebt n=250).</w:t>
      </w:r>
    </w:p>
    <w:p>
      <w:r>
        <w:rPr>
          <w:b/>
        </w:rPr>
        <w:t xml:space="preserve">Ergebnis: </w:t>
      </w:r>
      <w:r>
        <w:t>Rekrutierung (Stand Februar 2026): 201 von 250 geplanten Teilnehmern; Studie wird erste hinreichend gepowerte RCT zu rTMS + Expositionstherapie bei OCD mit Kosteneffektivitätsanalyse und Mechanismusforschung; bei Erfolg könnte rTMS als Kassenleistung in den Niederlanden und anderen Ländern Europas folgen.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Sozialversicherungssystem, Frage nach Erstattung parallelnzu deutschem Kontext.</w:t>
      </w:r>
    </w:p>
    <w:p>
      <w:r>
        <w:rPr>
          <w:color w:val="5A7D3A"/>
          <w:sz w:val="18"/>
        </w:rPr>
        <w:t>https://pubmed.ncbi.nlm.nih.gov/42715141/</w:t>
      </w:r>
    </w:p>
    <w:p>
      <w:pPr>
        <w:pStyle w:val="Heading2"/>
      </w:pPr>
      <w:r>
        <w:t>Deutsche Bevölkerung zeigt Stereotype über Tourette-Syndrom; soziale Medien wirken ambivalent</w:t>
      </w:r>
    </w:p>
    <w:p>
      <w:r>
        <w:rPr>
          <w:i/>
          <w:color w:val="666666"/>
          <w:sz w:val="18"/>
        </w:rPr>
        <w:t>Cramer C et al.  ·  Sci Rep  ·  28.08.2026  ·  PMID 42680841</w:t>
      </w:r>
    </w:p>
    <w:p>
      <w:r>
        <w:t>Bevölkerungssurvey von 1175 Deutschen über Wissen und Stereotype zur Gilles-de-la-Tourette-Syndrom, Assoziationen mit sozialen Medien untersucht.</w:t>
      </w:r>
    </w:p>
    <w:p>
      <w:r>
        <w:rPr>
          <w:b/>
        </w:rPr>
        <w:t xml:space="preserve">Ergebnis: </w:t>
      </w:r>
      <w:r>
        <w:t>50% der Wissensfragen wurden korrekt beantwortet, durchschnittliche Zustimmung zu Stereotype-Aussagen 39%; 87% assozierten GTS mit Koprolalie, 75% mit Kopropraktie, 50% mit unkontextualisiertem Kommentieren; Personen, die jemanden mit GTS kannten, hatten besseres Wissen; Videokonsum über soziale Medien war mit mehr Stereotypen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nationale repräsentative Stichprobe, direkt anwendbar für Stigma-Reduktionsmaßnahmen im deutschen Gesundheitswesen.</w:t>
      </w:r>
    </w:p>
    <w:p>
      <w:r>
        <w:rPr>
          <w:color w:val="5A7D3A"/>
          <w:sz w:val="18"/>
        </w:rPr>
        <w:t>https://pubmed.ncbi.nlm.nih.gov/42680841/</w:t>
      </w:r>
    </w:p>
    <w:p>
      <w:pPr>
        <w:pStyle w:val="Heading2"/>
      </w:pPr>
      <w:r>
        <w:t>Arbeitslosigkeit beeinträchtigte psychische Gesundheit vor allem der Partnerin, nicht des Partners</w:t>
      </w:r>
    </w:p>
    <w:p>
      <w:r>
        <w:rPr>
          <w:i/>
          <w:color w:val="666666"/>
          <w:sz w:val="18"/>
        </w:rPr>
        <w:t>Mikucka M et al.  ·  Adv Life Course Res  ·  22.08.2026  ·  PMID 42636561</w:t>
      </w:r>
    </w:p>
    <w:p>
      <w:r>
        <w:t>Längsschnittstudie von deutschen Paaren (2002–2022, n=2244 Dyaden) zur Assoziation von Arbeitslosigkeit und Jobinsicherheit mit psychischer Gesundheit des Partners mittels Longitudinal Actor-Partner Interdependence Model.</w:t>
      </w:r>
    </w:p>
    <w:p>
      <w:r>
        <w:rPr>
          <w:b/>
        </w:rPr>
        <w:t xml:space="preserve">Ergebnis: </w:t>
      </w:r>
      <w:r>
        <w:t>Eigene Arbeitslosigkeit verschlechterte psychische Gesundheit bei Frauen und Männern; Partnereffekte waren negativ, aber deutlich kleiner als Eigeneffekte und signifikant nur für Frauen. Bei Frauen mit niedriger Bildung waren Partnereffekte besonders ausgeprägt, v.a. wenn der Partner tertiale Bildung hatte.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Soziooekonomische Panel-Daten, vollständig übertragbar auf deutsches Arbeitsmarkt- und Sozialversicherungssystem.</w:t>
      </w:r>
    </w:p>
    <w:p>
      <w:r>
        <w:rPr>
          <w:color w:val="5A7D3A"/>
          <w:sz w:val="18"/>
        </w:rPr>
        <w:t>https://pubmed.ncbi.nlm.nih.gov/42636561/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