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28.08.2026  |  6 Studien  |  mental.m-vf.de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Übergänge zwischen Kinder- und Erwachsenenpsychiatrie: Prävalenz und Versorgungslücken bei 17-Jährigen</w:t>
      </w:r>
    </w:p>
    <w:p>
      <w:r>
        <w:rPr>
          <w:i/>
          <w:color w:val="666666"/>
          <w:sz w:val="18"/>
        </w:rPr>
        <w:t>Dumas LE et al.  ·  BMJ Open  ·  25.08.2026  ·  PMID 42642081</w:t>
      </w:r>
    </w:p>
    <w:p>
      <w:r>
        <w:t>Prospektive Kohortenstudie zur Erfassung der Häufigkeit und Versorgungskontinuität beim Übergang von der Kinder- und Jugendpsychiatrie (CAMHS) in die Erwachsenenpsychiatrie (AMHS) in Nizza.</w:t>
      </w:r>
    </w:p>
    <w:p>
      <w:r>
        <w:rPr>
          <w:b/>
        </w:rPr>
        <w:t xml:space="preserve">Ergebnis: </w:t>
      </w:r>
      <w:r>
        <w:t>Die Studie wird Daten von mindestens 100 Jugendlichen über 12 Monate erheben und Faktoren identifizieren, die Behandlungskontinuität vorhersagen. Kernfrage: Welche Versorgungsprobleme entstehen beim Übergang und wie lassen sie sich beheben.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Universitätsklinik, vergleichbare französische Sozialversicherungsstruktur</w:t>
      </w:r>
    </w:p>
    <w:p>
      <w:r>
        <w:rPr>
          <w:color w:val="5A7D3A"/>
          <w:sz w:val="18"/>
        </w:rPr>
        <w:t>https://pubmed.ncbi.nlm.nih.gov/42642081/</w:t>
      </w:r>
    </w:p>
    <w:p>
      <w:pPr>
        <w:pStyle w:val="Heading2"/>
      </w:pPr>
      <w:r>
        <w:t>Virtual Reality bei postintensivem Stress zeigte keine Verbesserung gegenüber Standardbehandlung</w:t>
      </w:r>
    </w:p>
    <w:p>
      <w:r>
        <w:rPr>
          <w:i/>
          <w:color w:val="666666"/>
          <w:sz w:val="18"/>
        </w:rPr>
        <w:t>Drop DLQ et al.  ·  Crit Care  ·  24.07.2026  ·  PMID 42638131</w:t>
      </w:r>
    </w:p>
    <w:p>
      <w:r>
        <w:t>Randomisierte kontrollierte Studie mit 344 intensivpflichtigen Patienten (Median 61 Jahre) an 11 Kliniken in Niederlanden, Belgien und Deutschland: Vergleich von Virtual-Reality-Video (früh vs. spät) gegen Standardbehandlung auf PTSD-Symptome nach 6 Monaten.</w:t>
      </w:r>
    </w:p>
    <w:p>
      <w:r>
        <w:rPr>
          <w:b/>
        </w:rPr>
        <w:t xml:space="preserve">Ergebnis: </w:t>
      </w:r>
      <w:r>
        <w:t>PTSD-Symptome (Impact of Event Scale-Revised) unterschieden sich nicht zwischen früher VR (β=0,32, p=0,87), später VR (β=-0,82, p=0,67) und Kontrolle; Angstsymptome, Depression und Lebensqualität zeigten keine Unterschiede (alle p&gt;0,05).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Niederlande/Deutschland, vergleichbare Intensivmedizin, direkt auf deutsches System übertragbar</w:t>
      </w:r>
    </w:p>
    <w:p>
      <w:r>
        <w:rPr>
          <w:color w:val="5A7D3A"/>
          <w:sz w:val="18"/>
        </w:rPr>
        <w:t>https://pubmed.ncbi.nlm.nih.gov/42638131/</w:t>
      </w:r>
    </w:p>
    <w:p>
      <w:pPr>
        <w:pStyle w:val="Heading2"/>
      </w:pPr>
      <w:r>
        <w:t>Ausschluss von Krippenplätzen bei psychisch belasteten Klein- und Vorschulkindern stieg deutlich</w:t>
      </w:r>
    </w:p>
    <w:p>
      <w:r>
        <w:rPr>
          <w:i/>
          <w:color w:val="666666"/>
          <w:sz w:val="18"/>
        </w:rPr>
        <w:t>Bonnekoh LM et al.  ·  Child Care Health Dev  ·  Sept. 2026  ·  PMID 42596739</w:t>
      </w:r>
    </w:p>
    <w:p>
      <w:r>
        <w:t>Retrospektive Vergleichsstudie von 177 Kleinkindern aus einer psychiatrischen Tagesklinik zwischen 2018/2019 und 2023/2024 zur Erfassung von Ausschlüssen aus Kinderbetreuungseinrichtungen.</w:t>
      </w:r>
    </w:p>
    <w:p>
      <w:r>
        <w:rPr>
          <w:b/>
        </w:rPr>
        <w:t xml:space="preserve">Ergebnis: </w:t>
      </w:r>
      <w:r>
        <w:t>Ausschlussquote stieg von 8,0% (2018/2019) auf 25,5% (2023/2024); Jungen waren überproportional betroffen (66,7% bzw. 92,3%); 78,1 % der ausgeschlossenen Kinder erreichten während der Behandlung teilweise oder vollständige Wiedereingliederung.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Universitätsklinik, Versorgung und Rechte von Kindern mit psychischen Störungen</w:t>
      </w:r>
    </w:p>
    <w:p>
      <w:r>
        <w:rPr>
          <w:color w:val="5A7D3A"/>
          <w:sz w:val="18"/>
        </w:rPr>
        <w:t>https://pubmed.ncbi.nlm.nih.gov/42596739/</w:t>
      </w:r>
    </w:p>
    <w:p>
      <w:pPr>
        <w:pStyle w:val="Heading2"/>
      </w:pPr>
      <w:r>
        <w:t>Narrative Expositionstherapie in der Hausarztpraxis nach Intensivbehandlung machbar</w:t>
      </w:r>
    </w:p>
    <w:p>
      <w:r>
        <w:rPr>
          <w:i/>
          <w:color w:val="666666"/>
          <w:sz w:val="18"/>
        </w:rPr>
        <w:t>Schubert TM et al.  ·  BMJ Open  ·  12.08.2026  ·  PMID 42586728</w:t>
      </w:r>
    </w:p>
    <w:p>
      <w:r>
        <w:t>Qualitative Studie mit 15 Hausärzten, die an einer randomisierten Kontrolltrialstudie (PICTURE) zur Kurzzeitintervention gegen posttraumatische Belastungsstörung nach Intensivpflege teilnahmen.</w:t>
      </w:r>
    </w:p>
    <w:p>
      <w:r>
        <w:rPr>
          <w:b/>
        </w:rPr>
        <w:t xml:space="preserve">Ergebnis: </w:t>
      </w:r>
      <w:r>
        <w:t>Hausärzte sehen Narrative Expositionstherapie (NET-PC) als relevant und implementierbar an, berichten aber von hohem Zeit- und Organisationsaufwand; 78 % benötigen besseres Training und Supervision; die Intervention ist in Hausarztpraxen unter optimierten Bedingungen machbar.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UK, vergleichbare Hausarztstrukturen, primärärztliche Finanzierung</w:t>
      </w:r>
    </w:p>
    <w:p>
      <w:r>
        <w:rPr>
          <w:color w:val="5A7D3A"/>
          <w:sz w:val="18"/>
        </w:rPr>
        <w:t>https://pubmed.ncbi.nlm.nih.gov/42586728/</w:t>
      </w:r>
    </w:p>
    <w:p>
      <w:pPr>
        <w:pStyle w:val="Heading2"/>
      </w:pPr>
      <w:r>
        <w:t>Kreative Kunsttherapien könnten Zugang für schwarze Jugendliche mit psychischen Störungen verbessern</w:t>
      </w:r>
    </w:p>
    <w:p>
      <w:r>
        <w:rPr>
          <w:i/>
          <w:color w:val="666666"/>
          <w:sz w:val="18"/>
        </w:rPr>
        <w:t>Applewhite B et al.  ·  BMJ Ment Health  ·  10.08.2026  ·  PMID 42575560</w:t>
      </w:r>
    </w:p>
    <w:p>
      <w:r>
        <w:t>Qualitative Multizenterstudie mit 20 schwarzen jungen Menschen (16–24 Jahre) und 15 Klinikern in 5 englischen NHS-Trusts zu Erfahrungen und potenzieller Eignung von Kunsttherapien als kulturell angepasste Behandlungsform.</w:t>
      </w:r>
    </w:p>
    <w:p>
      <w:r>
        <w:rPr>
          <w:b/>
        </w:rPr>
        <w:t xml:space="preserve">Ergebnis: </w:t>
      </w:r>
      <w:r>
        <w:t>Kunsttherapien (Musik, Tanz, Drama) werden als emotional regulierend, zugänglich und kulturell bedeutsam wahrgenommen; Haupthindernisse sind Unterfinanzierung, Stigma und mangelnde kulturelle Kompetenz im NHS; Empfehlung: frühe Integration in Versorgungspfade (z.B. CAMHS) mit Schulung des Personals.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NHS-Struktur vergleichbar mit deutschem Versorgungsprinzip kultursensibler Behandlung</w:t>
      </w:r>
    </w:p>
    <w:p>
      <w:r>
        <w:rPr>
          <w:color w:val="5A7D3A"/>
          <w:sz w:val="18"/>
        </w:rPr>
        <w:t>https://pubmed.ncbi.nlm.nih.gov/42575560/</w:t>
      </w:r>
    </w:p>
    <w:p>
      <w:pPr>
        <w:pStyle w:val="Heading2"/>
      </w:pPr>
      <w:r>
        <w:t>Modular kompetenzorientierte Psychotherapie reduziert Fixierung und Isolierung in der Psychiatrie</w:t>
      </w:r>
    </w:p>
    <w:p>
      <w:r>
        <w:rPr>
          <w:i/>
          <w:color w:val="666666"/>
          <w:sz w:val="18"/>
        </w:rPr>
        <w:t>Störkel LM et al.  ·  BMC Psychiatry  ·  05.08.2026  ·  PMID 42557550</w:t>
      </w:r>
    </w:p>
    <w:p>
      <w:r>
        <w:t>Retrospektive Analyse von 15.361 stationären Fällen an zwei deutschen psychiatrischen Kliniken (2022–2024), vergleich zwischen Standort mit neuer MCP-Implementierung und Standort mit Standardbehandlung.</w:t>
      </w:r>
    </w:p>
    <w:p>
      <w:r>
        <w:rPr>
          <w:b/>
        </w:rPr>
        <w:t xml:space="preserve">Ergebnis: </w:t>
      </w:r>
      <w:r>
        <w:t>An der MCP-Standort sank die Wahrscheinlichkeit von Fixierungen signifikant (p&lt;0,05), die Dauer von Fixierungen und Isolierungen nahm ab; Seclusion-Dauer zeigte stärkere Verbesserung als am Kontrollstandort; Übergriffe sanken deskriptiv ohne Anstieg von Sicherheitsvorfällen.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Universitätskliniken, vergleichbare Datendokumentation und Behandlungsstandards</w:t>
      </w:r>
    </w:p>
    <w:p>
      <w:r>
        <w:rPr>
          <w:color w:val="5A7D3A"/>
          <w:sz w:val="18"/>
        </w:rPr>
        <w:t>https://pubmed.ncbi.nlm.nih.gov/42557550/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