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22.09.2026  |  6 Studien  |  mental.m-vf.de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Restorative Circles für Migrantencommunities: Community-getriebene Traumabehandlung</w:t>
      </w:r>
    </w:p>
    <w:p>
      <w:r>
        <w:rPr>
          <w:i/>
          <w:color w:val="666666"/>
          <w:sz w:val="18"/>
        </w:rPr>
        <w:t>J Health Care Poor Underserved  ·  2026  ·  PMID 42766509</w:t>
      </w:r>
    </w:p>
    <w:p>
      <w:r>
        <w:t>Drei Fokusgruppen mit insgesamt 34 Angehörigen von Latine- und Präkolumbischer Indigenous-Immigrant Communities in ländlichem Kalifornien zu Erfahrungen mit Traumatisierung und Bedarf an Psychotherapie.</w:t>
      </w:r>
    </w:p>
    <w:p>
      <w:r>
        <w:rPr>
          <w:b/>
        </w:rPr>
        <w:t xml:space="preserve">Ergebnis: </w:t>
      </w:r>
      <w:r>
        <w:t>Umgesiedelte Migranten (n=14): Post-COVID-Trauma, ökonomische Prekarität, psychische Last undokumentierter Status; Farmarbeiter (n=10): Schulgewalt und Substanzmissbrauch; Purépecha-Gemeinschaft (n=10): Suizidalität, Stigmatisierung, extreme Ressourcenknappheit; alle Gruppen: Diskriminierung und schulisches Mobbing als persistente 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USA/Kalifornien; Befund zum Bedarf für kulturell angepasste, partizipativ entwickelte Angebote, nicht Versicherungssystem gebunden</w:t>
      </w:r>
    </w:p>
    <w:p>
      <w:r>
        <w:rPr>
          <w:color w:val="5A7D3A"/>
          <w:sz w:val="18"/>
        </w:rPr>
        <w:t>https://pubmed.ncbi.nlm.nih.gov/42766509/</w:t>
      </w:r>
    </w:p>
    <w:p>
      <w:pPr>
        <w:pStyle w:val="Heading2"/>
      </w:pPr>
      <w:r>
        <w:t>Prolonged Exposure in der Routineversorgung: Machbarkeit, Sicherheit und Wirksamkeit</w:t>
      </w:r>
    </w:p>
    <w:p>
      <w:r>
        <w:rPr>
          <w:i/>
          <w:color w:val="666666"/>
          <w:sz w:val="18"/>
        </w:rPr>
        <w:t>Eur J Psychotraumatol  ·  2026  ·  PMID 42766476</w:t>
      </w:r>
    </w:p>
    <w:p>
      <w:r>
        <w:t>95 Patienten mit PTSD erhielten Prolonged Exposure in einem französischen ambulanten Zentrum; Outcome gemessen mit Clinician-Administered PTSD Scale und PCL-5 bei Aufnahme, vor/nach Behandlung und 3-Monats-Follow-up.</w:t>
      </w:r>
    </w:p>
    <w:p>
      <w:r>
        <w:rPr>
          <w:b/>
        </w:rPr>
        <w:t xml:space="preserve">Ergebnis: </w:t>
      </w:r>
      <w:r>
        <w:t>75,5 % erreichten wahrscheinliche Remission (PCL-5 &lt; 33); 79,8 % zeigten klinisch signifikante Verbesserung (≥ 10-Punkte-Reduktion); großer Effekt prä- zu post-Behandlung (d = 1,88, p &lt; 0,001); Dropout-Rate 9,5 %; 1 % zeigten zuverlässige Verschlechterung.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ambulante Regelversorgung ohne spezialisierte Therapieinfrastruktur</w:t>
      </w:r>
    </w:p>
    <w:p>
      <w:r>
        <w:rPr>
          <w:color w:val="5A7D3A"/>
          <w:sz w:val="18"/>
        </w:rPr>
        <w:t>https://pubmed.ncbi.nlm.nih.gov/42766476/</w:t>
      </w:r>
    </w:p>
    <w:p>
      <w:pPr>
        <w:pStyle w:val="Heading2"/>
      </w:pPr>
      <w:r>
        <w:t>Valproat senkt Wiederaufnahmerate nach First Episode Mania – taiwanesische Kohorte</w:t>
      </w:r>
    </w:p>
    <w:p>
      <w:r>
        <w:rPr>
          <w:i/>
          <w:color w:val="666666"/>
          <w:sz w:val="18"/>
        </w:rPr>
        <w:t>Bipolar Disord  ·  2026  ·  PMID 42765449</w:t>
      </w:r>
    </w:p>
    <w:p>
      <w:r>
        <w:t>Propensity-Score-gematchte Kohorte (Taiwans Nationale Krankenversicherung 2011–2022) mit 3.909 Patienten: Lithium+Antipsychotika vs. Valproat+Antipsychotika nach erster stationärer Behandlung einer Manie.</w:t>
      </w:r>
    </w:p>
    <w:p>
      <w:r>
        <w:rPr>
          <w:b/>
        </w:rPr>
        <w:t xml:space="preserve">Ergebnis: </w:t>
      </w:r>
      <w:r>
        <w:t>Valproat+AAP mit niedrigerem Wiederaufnahmerisiko als Lithium+AAP (HR 1,18, 95% CI 1,03–1,35); hauptsächlich durch Manie getrieben (HR 1,16, 95% CI 1,01–1,35); annualisierte Wiederaufnahmerate höher mit Lithium (IRR 1,34, 95% CI 1,17–1,54).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Taiwan; Versicherungsdaten international verwendbar, Befund vom System unabhängig</w:t>
      </w:r>
    </w:p>
    <w:p>
      <w:r>
        <w:rPr>
          <w:color w:val="5A7D3A"/>
          <w:sz w:val="18"/>
        </w:rPr>
        <w:t>https://pubmed.ncbi.nlm.nih.gov/42765449/</w:t>
      </w:r>
    </w:p>
    <w:p>
      <w:pPr>
        <w:pStyle w:val="Heading2"/>
      </w:pPr>
      <w:r>
        <w:t>Lithium und Valproat reduzieren Suizidrisiko gleich wirksam – Meta-Analyse</w:t>
      </w:r>
    </w:p>
    <w:p>
      <w:r>
        <w:rPr>
          <w:i/>
          <w:color w:val="666666"/>
          <w:sz w:val="18"/>
        </w:rPr>
        <w:t>Psychol Med  ·  2026  ·  PMID 42765379</w:t>
      </w:r>
    </w:p>
    <w:p>
      <w:r>
        <w:t>Retrospektive Kohorte mit 6.935 Patienten mit bipolarer Störung (Hongkong) plus Netzwerk-Meta-Analyse von RCTs und Beobachtungsstudien zum Vergleich von Lithium, Valproat und Kontrolle bei Suizidprävention.</w:t>
      </w:r>
    </w:p>
    <w:p>
      <w:r>
        <w:rPr>
          <w:b/>
        </w:rPr>
        <w:t xml:space="preserve">Ergebnis: </w:t>
      </w:r>
      <w:r>
        <w:t>Kohortenstudie: kein signifikanter Unterschied zwischen Lithium und Valproat (HR 0,76, 95% CI 0,54–1,08); Netzwerk-Meta-Analyse: beide Substanzen senken Suizidrisiko vs. Kontrolle (Lithium: HR 0,46, 95% CI 0,33–0,64; Valproat: HR 0,63, 95% CI 0,45–0,88); kein signifikanter Unterschied zwischen ihnen (HR 0,73, 95% CI 0,52–1,02).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Hongkong/Taiwan, mit RCTs mehrerer Länder; Befund nicht an Sozialversicherungssystem gebunden</w:t>
      </w:r>
    </w:p>
    <w:p>
      <w:r>
        <w:rPr>
          <w:color w:val="5A7D3A"/>
          <w:sz w:val="18"/>
        </w:rPr>
        <w:t>https://pubmed.ncbi.nlm.nih.gov/42765379/</w:t>
      </w:r>
    </w:p>
    <w:p>
      <w:pPr>
        <w:pStyle w:val="Heading2"/>
      </w:pPr>
      <w:r>
        <w:t>EPICare: Nationale Lernplattform zur Psychose stärkt datengesteuerte Versorgung</w:t>
      </w:r>
    </w:p>
    <w:p>
      <w:r>
        <w:rPr>
          <w:i/>
          <w:color w:val="666666"/>
          <w:sz w:val="18"/>
        </w:rPr>
        <w:t>Early Interv Psychiatry  ·  2026  ·  PMID 42765287</w:t>
      </w:r>
    </w:p>
    <w:p>
      <w:r>
        <w:t>Multistakeholder-Kodesign entwickelte ein Datensystem für Early-Intervention-in-Psychosis-Services in England, das Ungleichheiten in der Behandlung und Recovery-Raten identifizieren und reduzieren soll.</w:t>
      </w:r>
    </w:p>
    <w:p>
      <w:r>
        <w:rPr>
          <w:b/>
        </w:rPr>
        <w:t xml:space="preserve">Ergebnis: </w:t>
      </w:r>
      <w:r>
        <w:t>Weniger als 40 % der Patienten erreichen vollständige klinische Genesung; Konsens für Core-Dataset und klinisches Dashboard erarbeitet; technisch machbar und national skalierbar.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 mit vergleichbarer Dateninfrastruktur-Heterogenität</w:t>
      </w:r>
    </w:p>
    <w:p>
      <w:r>
        <w:rPr>
          <w:color w:val="5A7D3A"/>
          <w:sz w:val="18"/>
        </w:rPr>
        <w:t>https://pubmed.ncbi.nlm.nih.gov/42765287/</w:t>
      </w:r>
    </w:p>
    <w:p>
      <w:pPr>
        <w:pStyle w:val="Heading2"/>
      </w:pPr>
      <w:r>
        <w:t>Emotionsregulation vermittelt Symptomverbesserung bei web-basierten Essstörungsinterventionen</w:t>
      </w:r>
    </w:p>
    <w:p>
      <w:r>
        <w:rPr>
          <w:i/>
          <w:color w:val="666666"/>
          <w:sz w:val="18"/>
        </w:rPr>
        <w:t>Behav Res Ther  ·  2026  ·  PMID 42679628</w:t>
      </w:r>
    </w:p>
    <w:p>
      <w:r>
        <w:t>Zwei RCTs mit 308 Patienten mit Bulimia nervosa und Binge-Eating-Disorder untersuchten, ob Änderungen der Emotionsregulation mit Symptomverbesserung bei web-basierten kognitiv-behavioralen Selbsthilfe-Interventionen verbunden sind.</w:t>
      </w:r>
    </w:p>
    <w:p>
      <w:r>
        <w:rPr>
          <w:b/>
        </w:rPr>
        <w:t xml:space="preserve">Ergebnis: </w:t>
      </w:r>
      <w:r>
        <w:t>Signifikante indirekte Pfade: Reduktion von Emotionsregulationsschwierigkeiten war mit gleichzeitigen Symptomrückgängen verbunden (standardisierte indirekte Effekte |ab| ≥ 0,10 für Bulimie und Binge-Eating); keine signifikanten Unterschiede zwischen Störungsgruppen.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web-basierte Selbsthilfe unabhängig vom Gesundheitssystem</w:t>
      </w:r>
    </w:p>
    <w:p>
      <w:r>
        <w:rPr>
          <w:color w:val="5A7D3A"/>
          <w:sz w:val="18"/>
        </w:rPr>
        <w:t>https://pubmed.ncbi.nlm.nih.gov/42679628/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