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03.10.2026  |  7 Studien  |  mental.m-vf.de</w:t>
      </w:r>
    </w:p>
    <w:p>
      <w:pPr>
        <w:pStyle w:val="Heading1"/>
      </w:pPr>
      <w:r>
        <w:t>Aufgenommen am 03.10.2026</w:t>
      </w:r>
    </w:p>
    <w:p>
      <w:pPr>
        <w:pStyle w:val="Heading2"/>
      </w:pPr>
      <w:r>
        <w:t>Antipsychotika-Polypharmaka bei Jugendlichen: Gewalt statt Schwere treibt Mehrfachtherapie</w:t>
      </w:r>
    </w:p>
    <w:p>
      <w:r>
        <w:rPr>
          <w:i/>
          <w:color w:val="666666"/>
          <w:sz w:val="18"/>
        </w:rPr>
        <w:t>Haruguchi K et al.  ·  Early Interv Psychiatry  ·  Okt. 2026  ·  PMID 42823639</w:t>
      </w:r>
    </w:p>
    <w:p>
      <w:r>
        <w:t>Retrospektive Analyse von 229 hospitalisierten Patienten unter 25 Jahren mit Psychose: Antipsychotic Polypharmacy (14%) wurde untersucht auf unabhängige Vorhersagefaktoren und Wiederaufnahmequoten nach Entlassung.</w:t>
      </w:r>
    </w:p>
    <w:p>
      <w:r>
        <w:rPr>
          <w:b/>
        </w:rPr>
        <w:t xml:space="preserve">Ergebnis: </w:t>
      </w:r>
      <w:r>
        <w:t>Gewaltgeschichte war der einzige unabhängige Prädiktor für Polypharmaka (OR=3,30, 95% CI [1,28-8,52]). Polypharmaka war NICHT mit höherer Einjahres-Wiederaufnahmequote assoziiert (kein signifikanter Unterschied in Kaplan-Meier-Analyse). Befund widerlegt die Annahme, dass Polypharmaka bei hochrisikojungen Patienten zu schlechteren kurzfristigen Outcomes führt.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- Hospital der Lehrmedizin, aber Befund zu akutem Risiko unabhängig vom System</w:t>
      </w:r>
    </w:p>
    <w:p>
      <w:r>
        <w:rPr>
          <w:color w:val="5A7D3A"/>
          <w:sz w:val="18"/>
        </w:rPr>
        <w:t>https://pubmed.ncbi.nlm.nih.gov/42823639/</w:t>
      </w:r>
    </w:p>
    <w:p>
      <w:pPr>
        <w:pStyle w:val="Heading2"/>
      </w:pPr>
      <w:r>
        <w:t>Hausarztbarriered für Demenzdiagnose: Zeit, Wissen, Pfade</w:t>
      </w:r>
    </w:p>
    <w:p>
      <w:r>
        <w:rPr>
          <w:i/>
          <w:color w:val="666666"/>
          <w:sz w:val="18"/>
        </w:rPr>
        <w:t>Gulline H et al.  ·  Fam Med Community Health  ·  01.10.2026  ·  PMID 42823108</w:t>
      </w:r>
    </w:p>
    <w:p>
      <w:r>
        <w:t>Qualitative Studie mit 33 semistrukturierten Interviews von Patienten und Angehörigen, die den prädiagnostischen Weg durchlaufen hatten, zur Identifikation von Faktoren, die Hausärzte bei der Überweisungsentscheidung beeinflussen.</w:t>
      </w:r>
    </w:p>
    <w:p>
      <w:r>
        <w:rPr>
          <w:b/>
        </w:rPr>
        <w:t xml:space="preserve">Ergebnis: </w:t>
      </w:r>
      <w:r>
        <w:t>Barrieren für frühzeitige Diagnose: Zeitmangel von Hausärzten, fehlende Demenzspezifische Kenntnisse, inkonsistente Überweisungswege. Erfolgreiche Pfade erforderten wirksame Kommunikation von Symptomen durch Patienten, Unterstützung durch Angehörige und Hausarztentscheidung zur Überweisungsempfehlung an Fachärzte.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Allgemeinpraxis - vergleichbar mit deutschem Hausarzt-Überweisungsmodell</w:t>
      </w:r>
    </w:p>
    <w:p>
      <w:r>
        <w:rPr>
          <w:color w:val="5A7D3A"/>
          <w:sz w:val="18"/>
        </w:rPr>
        <w:t>https://pubmed.ncbi.nlm.nih.gov/42823108/</w:t>
      </w:r>
    </w:p>
    <w:p>
      <w:pPr>
        <w:pStyle w:val="Heading2"/>
      </w:pPr>
      <w:r>
        <w:t>Patientensicht auf Langzeitinjektionen während stationärer psychiatrischer Behandlung</w:t>
      </w:r>
    </w:p>
    <w:p>
      <w:r>
        <w:rPr>
          <w:i/>
          <w:color w:val="666666"/>
          <w:sz w:val="18"/>
        </w:rPr>
        <w:t>Alim T et al.  ·  Prim Care Companion CNS Disord  ·  24.09.2026  ·  PMID 42821629</w:t>
      </w:r>
    </w:p>
    <w:p>
      <w:r>
        <w:t>Prospektive Observationsstudie mit 30 erwachsenen freiwillig hospitalisierten Patienten zu deren Perspektiven, Erfahrungen und Behandlungspräferenzen bezüglich Langzeit-Depotinjektionen (LAI).</w:t>
      </w:r>
    </w:p>
    <w:p>
      <w:r>
        <w:rPr>
          <w:b/>
        </w:rPr>
        <w:t xml:space="preserve">Ergebnis: </w:t>
      </w:r>
      <w:r>
        <w:t>73% hatten keine vorherige LAI-Erfahrung (n=22). Von 7 mit Voxerfahrung: 2 hilfreich (29%), 2 neutral, 2 nicht hilfreich. Zur aktuellen Präferenz: 33% bevorzugten Tabletten (n=10), 33% würden LAI erwägen (n=10), 27% unsicher und wollten Team besprechen (n=8). Befund: Heterogene, nicht-feindselige Haltungen mit hoher Offenheit für shared decision-making.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Safety-Net-Hospital - Ansatz zu Patientenpräferenzen für Depot-Optionen übertragbar</w:t>
      </w:r>
    </w:p>
    <w:p>
      <w:r>
        <w:rPr>
          <w:color w:val="5A7D3A"/>
          <w:sz w:val="18"/>
        </w:rPr>
        <w:t>https://pubmed.ncbi.nlm.nih.gov/42821629/</w:t>
      </w:r>
    </w:p>
    <w:p>
      <w:pPr>
        <w:pStyle w:val="Heading2"/>
      </w:pPr>
      <w:r>
        <w:t>Partizipative Demenzprävention durch Community Engagement in Botswana und Montreal</w:t>
      </w:r>
    </w:p>
    <w:p>
      <w:r>
        <w:rPr>
          <w:i/>
          <w:color w:val="666666"/>
          <w:sz w:val="18"/>
        </w:rPr>
        <w:t>Andersson N et al.  ·  BMJ Open  ·  30.09.2026  ·  PMID 42816094</w:t>
      </w:r>
    </w:p>
    <w:p>
      <w:r>
        <w:t>Pilotiertes randomisiertes Kontrolldesign (Botswana Cluster, Montreal individuell), in dem sozial isolierte Erwachsene ab 65 Jahren an sechsstufigen Partizipationsprozessen teilnahmen zur Förderung der Exekutivfunktion und kognitiven Gesundheit.</w:t>
      </w:r>
    </w:p>
    <w:p>
      <w:r>
        <w:rPr>
          <w:b/>
        </w:rPr>
        <w:t xml:space="preserve">Ergebnis: </w:t>
      </w:r>
      <w:r>
        <w:t>Studienprotokoll: Ziel 100 Teilnehmer pro Standort. Primäre Outcome: Exekutivfunktion (Frontal Assessment Battery). Follow-up: Baseline, 18 Monate, 33 Monate. Studiendesign und Rekrutierung abgeschlossen, Ergebnisse ausstehend (Publikation erwartet 2028). Partizipative Elemente als Umsetzung eines Präventionsansatzes bei Isolation.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 und Botswana - Ansatz der Partizipation übertragbar, aber Ressourcenlage unterschiedlich</w:t>
      </w:r>
    </w:p>
    <w:p>
      <w:r>
        <w:rPr>
          <w:color w:val="5A7D3A"/>
          <w:sz w:val="18"/>
        </w:rPr>
        <w:t>https://pubmed.ncbi.nlm.nih.gov/42816094/</w:t>
      </w:r>
    </w:p>
    <w:p>
      <w:pPr>
        <w:pStyle w:val="Heading2"/>
      </w:pPr>
      <w:r>
        <w:t>Freiwillige Community-Drogenbhandlung statt Zwangshaft in Vietnam: Khánh Hoà Modell</w:t>
      </w:r>
    </w:p>
    <w:p>
      <w:r>
        <w:rPr>
          <w:i/>
          <w:color w:val="666666"/>
          <w:sz w:val="18"/>
        </w:rPr>
        <w:t>Jordens J et al.  ·  Glob Public Health  ·  31.12.2026  ·  PMID 42815453</w:t>
      </w:r>
    </w:p>
    <w:p>
      <w:r>
        <w:t>Fallstudie des Khánh Hoà Modells zur Umsetzung freiwilliger, gemeindebasierter Drogenbhandlung (VCBT) 2013–2017 als Reform gegen 60.000 jährliche Zwangshaftungen in Compulsory Drug Detention Centres.</w:t>
      </w:r>
    </w:p>
    <w:p>
      <w:r>
        <w:rPr>
          <w:b/>
        </w:rPr>
        <w:t xml:space="preserve">Ergebnis: </w:t>
      </w:r>
      <w:r>
        <w:t>Das Modell entstand durch Kooperation von Regierungs- und Nicht-Regierungs-Akteuren. Erfolgsfaktoren: Regierungsaufmerksamkeit in Pilot-Phase, Alignment mit Renovation Plan, Aufbau von Community-Services. Grenzen: Entrenched Detention System, begrenzte dokumentierte Verweisquoten. Wechsel von moralischem zu gesundheitlichem Rahmen für Drogenkonsum teilweise erfolgreich.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Vietnam, Übergangsland - Zwangsentzug ist deutsche Versorgungsrealität nicht, aber Delinquenzstrukturierung relevant</w:t>
      </w:r>
    </w:p>
    <w:p>
      <w:r>
        <w:rPr>
          <w:color w:val="5A7D3A"/>
          <w:sz w:val="18"/>
        </w:rPr>
        <w:t>https://pubmed.ncbi.nlm.nih.gov/42815453/</w:t>
      </w:r>
    </w:p>
    <w:p>
      <w:pPr>
        <w:pStyle w:val="Heading2"/>
      </w:pPr>
      <w:r>
        <w:t>Präventive Kognitiv-Therapie nach Hochfrequenz-Magnetstimulation bei Depression</w:t>
      </w:r>
    </w:p>
    <w:p>
      <w:r>
        <w:rPr>
          <w:i/>
          <w:color w:val="666666"/>
          <w:sz w:val="18"/>
        </w:rPr>
        <w:t>de Lange IGS et al.  ·  JMIR Res Protoc  ·  25.09.2026  ·  PMID 42789363</w:t>
      </w:r>
    </w:p>
    <w:p>
      <w:r>
        <w:t>Pilotstudie zur Machbarkeit (Feasibility) von Präventiver Kognitiv-Therapie (PCT) in zwei Formaten (online vs. face-to-face) nach rTMS-Behandlung bei teilweise remittierten Patienten mit Depression.</w:t>
      </w:r>
    </w:p>
    <w:p>
      <w:r>
        <w:rPr>
          <w:b/>
        </w:rPr>
        <w:t xml:space="preserve">Ergebnis: </w:t>
      </w:r>
      <w:r>
        <w:t>Protokoll: 20 Teilnehmer, randomisiert zu online vs. face-to-face PCT. Machbarkeitskriterium: ≥75% Therapievollendung in 1,5 Jahren. Datenerhebung August 2024 – April 2026 abgeschlossen (11 Teilnehmer eingeschlossen). Datenanalyse erwartet Dezember 2026. Sekundär: Rückfallmonitorierung und affektive Zustände via Experience Sampling.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spezialisierte Psychiatrie - rTMS ist deutsche Kassenleistung, aber PCT-Evidenz limitiert</w:t>
      </w:r>
    </w:p>
    <w:p>
      <w:r>
        <w:rPr>
          <w:color w:val="5A7D3A"/>
          <w:sz w:val="18"/>
        </w:rPr>
        <w:t>https://pubmed.ncbi.nlm.nih.gov/42789363/</w:t>
      </w:r>
    </w:p>
    <w:p>
      <w:pPr>
        <w:pStyle w:val="Heading2"/>
      </w:pPr>
      <w:r>
        <w:t>Langzeitdepotinjektionen verbessern Adhärenz und senken stationäre Tage bei Schizophrenie</w:t>
      </w:r>
    </w:p>
    <w:p>
      <w:r>
        <w:rPr>
          <w:i/>
          <w:color w:val="666666"/>
          <w:sz w:val="18"/>
        </w:rPr>
        <w:t>Harrsen K et al.  ·  Curr Med Res Opin  ·  30.08.2026  ·  PMID 42669177</w:t>
      </w:r>
    </w:p>
    <w:p>
      <w:r>
        <w:t>Retrospektive Real-World Studie (USA Anspruchsdaten): 153 Patienten mit Übergang von oralen Antipsychotika zu Aripiprazol-Monohydrat 2-monatlich, 526 von monatlich zu 2-monatlich; Mess Adhärenz (PDC, MPR) und Gesundheitsnutzung (Hospitalisierungen, stationäre Tage).</w:t>
      </w:r>
    </w:p>
    <w:p>
      <w:r>
        <w:rPr>
          <w:b/>
        </w:rPr>
        <w:t xml:space="preserve">Ergebnis: </w:t>
      </w:r>
      <w:r>
        <w:t>Nach Übergang von oral zu 2-monatlich (n=153): PDC +21,3%, MPR +24,6%, adhärente Patienten +59,2% (alle p&lt;0,001); stationäre Besuche 0,67→0,28, Verweildauer 2,63→1,05 Tage (p=0,008–0,019). Von monatlich zu 2-monatlich (n=526): PDC +38,8%, MPR +36,6%, Adhärenz +47,9% (alle p&lt;0,001); Verweildauer 1,05→0,64 Tage (p=0,047). Längere Injektionsintervalle senken Wiederaufnahmerisiko messbar.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Klaimbasis - Grundbefund zu Depot-Adhärenz international relevant, deutsche Nutzungsdaten anderer</w:t>
      </w:r>
    </w:p>
    <w:p>
      <w:r>
        <w:rPr>
          <w:color w:val="5A7D3A"/>
          <w:sz w:val="18"/>
        </w:rPr>
        <w:t>https://pubmed.ncbi.nlm.nih.gov/42669177/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2026-10-03T06:00:00Z</dcterms:created>
  <dcterms:modified xsi:type="dcterms:W3CDTF">2026-10-03T06:00:00Z</dcterms:modified>
  <cp:category/>
</cp:coreProperties>
</file>