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25.09.2026  |  191 Studien  |  mental.m-vf.de</w:t>
      </w:r>
    </w:p>
    <w:p>
      <w:pPr>
        <w:pStyle w:val="Heading1"/>
      </w:pPr>
      <w:r>
        <w:t>Aufgenommen am 25.09.2026</w:t>
      </w:r>
    </w:p>
    <w:p>
      <w:pPr>
        <w:pStyle w:val="Heading2"/>
      </w:pPr>
      <w:r>
        <w:t>Finanzielle Belastung und psychische Gesundheit: Kriseneffekt während Cost-of-Living-Krise deutlich stärker</w:t>
      </w:r>
    </w:p>
    <w:p>
      <w:r>
        <w:rPr>
          <w:i/>
          <w:color w:val="666666"/>
          <w:sz w:val="18"/>
        </w:rPr>
        <w:t>Too LS et al.  ·  Soc Sci Med  ·  17.09.2026  ·  PMID 42785910</w:t>
      </w:r>
    </w:p>
    <w:p>
      <w:r>
        <w:t>Längsschnitt-Analyse von 13 Erhebungswellen (2012–2024) aus der australischen HILDA-Kohorte (n=18.759 Personen, 148.419 Beobachtungen) zur Assoziation zwischen finanzieller Notlage und mentaler Gesundheit vor, während COVID-19 und der Lebenshaltungskrise.</w:t>
      </w:r>
    </w:p>
    <w:p>
      <w:r>
        <w:rPr>
          <w:b/>
        </w:rPr>
        <w:t xml:space="preserve">Ergebnis: </w:t>
      </w:r>
      <w:r>
        <w:t>Vor der Krise (2012–2019): finanzielle Belastung mit Verschlechterung psychischer Gesundheit assoziiert. Während der Cost-of-Living-Krise (2022–2024): Effekt deutlich stärker (Interaktionseffekt: –0,84; 95%-KI –1,22 bis –0,46). Bei Hypothekenzahlungsrückständen über Großkrediten massiver Rückgang mentaler Gesundheit (–2,57; 95%-KI –5,00 bis –0,41). Handlungsbedarf: unmittelbare Maßnahmen gegen finanzielle Belastung zur Prävention psychischer Probleme.</w:t>
      </w:r>
    </w:p>
    <w:p>
      <w:r>
        <w:rPr>
          <w:b/>
          <w:sz w:val="19"/>
        </w:rPr>
        <w:t xml:space="preserve">Übertragbarkeit: </w:t>
      </w:r>
      <w:r>
        <w:rPr>
          <w:sz w:val="19"/>
        </w:rPr>
        <w:t>Australien – Befund zu Mechanismen und Timing von Finanzstress und Psyche übertragbar weltweit.</w:t>
      </w:r>
    </w:p>
    <w:p>
      <w:r>
        <w:rPr>
          <w:color w:val="5A7D3A"/>
          <w:sz w:val="18"/>
        </w:rPr>
        <w:t>https://pubmed.ncbi.nlm.nih.gov/42785910/</w:t>
      </w:r>
    </w:p>
    <w:p>
      <w:pPr>
        <w:pStyle w:val="Heading2"/>
      </w:pPr>
      <w:r>
        <w:t>Fidelity-Messung in Früherkennung-Services: australisches Redesign zeigt Messprobleme und Defizite bei Beziehungsarbeit</w:t>
      </w:r>
    </w:p>
    <w:p>
      <w:r>
        <w:rPr>
          <w:i/>
          <w:color w:val="666666"/>
          <w:sz w:val="18"/>
        </w:rPr>
        <w:t>Talarico CS et al.  ·  Early Interv Psychiatry  ·  Sept. 2026  ·  PMID 42785726</w:t>
      </w:r>
    </w:p>
    <w:p>
      <w:r>
        <w:t>Mixed-Methods-Studie zur Überarbeitung eines Messinstruments (REMIT) für Early-Psychosis-Services in Australien über 2 Jahre mit Fidelity-Besuchen, Interviews und Dokumentenanalyse an 6 Service-Clustern.</w:t>
      </w:r>
    </w:p>
    <w:p>
      <w:r>
        <w:rPr>
          <w:b/>
        </w:rPr>
        <w:t xml:space="preserve">Ergebnis: </w:t>
      </w:r>
      <w:r>
        <w:t>Neues Instrument reduzierte Deckeneffekte und verbesserte Sensitivität. Nationale Fidelity-Werte stiegen von 3,99 (2023) auf 4,19 (2024). Verbesserungen in Fallmanagement, körperlicher Gesundheitsüberwachung und Outcome-Messung, aber anhaltend niedrige Fidelity bei relationalen Domänen (kontinuierliche Bindung, Familieneinbindung) – durchgehend schwach über alle Standorte und Jahre. Empfehlung: REMIT als aktives Lern- nicht als Compliance-System einsetzen.</w:t>
      </w:r>
    </w:p>
    <w:p>
      <w:r>
        <w:rPr>
          <w:b/>
          <w:sz w:val="19"/>
        </w:rPr>
        <w:t xml:space="preserve">Übertragbarkeit: </w:t>
      </w:r>
      <w:r>
        <w:rPr>
          <w:sz w:val="19"/>
        </w:rPr>
        <w:t>Australisches System; Befund zu strukturellen Defiziten bei Beziehungsarbeit und Familieneinbindung übertragbar auf deutsche Früherkennung.</w:t>
      </w:r>
    </w:p>
    <w:p>
      <w:r>
        <w:rPr>
          <w:color w:val="5A7D3A"/>
          <w:sz w:val="18"/>
        </w:rPr>
        <w:t>https://pubmed.ncbi.nlm.nih.gov/42785726/</w:t>
      </w:r>
    </w:p>
    <w:p>
      <w:pPr>
        <w:pStyle w:val="Heading2"/>
      </w:pPr>
      <w:r>
        <w:t>Anhaltend schlechte Medikamenten-Adhärenz nach Erstpsychose – nur 19 % waren therapietreu</w:t>
      </w:r>
    </w:p>
    <w:p>
      <w:r>
        <w:rPr>
          <w:i/>
          <w:color w:val="666666"/>
          <w:sz w:val="18"/>
        </w:rPr>
        <w:t>Chi E et al.  ·  JAMA Netw Open  ·  01.09.2026  ·  PMID 42783372</w:t>
      </w:r>
    </w:p>
    <w:p>
      <w:r>
        <w:t>Retrospektive Kohorte von 11.889 Personen (15–40 Jahre) aus US-Versicherungsdaten (2013–2021), die nach Erstpsychose-Diagnose Antipsychotika verschrieben bekamen und 365 Tage nachverfolgt wurden, gemessen an Proportion of Days Covered (PDC).</w:t>
      </w:r>
    </w:p>
    <w:p>
      <w:r>
        <w:rPr>
          <w:b/>
        </w:rPr>
        <w:t xml:space="preserve">Ergebnis: </w:t>
      </w:r>
      <w:r>
        <w:t>Gesamtadhärenz: 19,1 % (2.270 von 11.889) erreichten PDC≥80 %. Bessere Adhärenz bei Schizophrenie-Diagnose (PR 1,78; 95%-KI 1,57–2,04) und Stimmungsstörungen (PR 1,21; 95%-KI 1,06–1,39). Bessere Adhärenz assoziiert mit weniger Notaufnahme-Besuchen (IRR 0,85; 95%-KI 0,81–0,90), mehr psychiatrischen Ambulanzbesuchen (IRR 1,53; 95%-KI 1,47–1,59). Niedrige Adhärenz als Major-Hürde für Psychose-Outcome-Verbesserung erkannt.</w:t>
      </w:r>
    </w:p>
    <w:p>
      <w:r>
        <w:rPr>
          <w:b/>
          <w:sz w:val="19"/>
        </w:rPr>
        <w:t xml:space="preserve">Übertragbarkeit: </w:t>
      </w:r>
      <w:r>
        <w:rPr>
          <w:sz w:val="19"/>
        </w:rPr>
        <w:t>USA – gewerbliche Versicherungsdaten; Befund zu Adhärenz-Barrieren und Notfall-Assoziation relevant für deutsche Forschung.</w:t>
      </w:r>
    </w:p>
    <w:p>
      <w:r>
        <w:rPr>
          <w:color w:val="5A7D3A"/>
          <w:sz w:val="18"/>
        </w:rPr>
        <w:t>https://pubmed.ncbi.nlm.nih.gov/42783372/</w:t>
      </w:r>
    </w:p>
    <w:p>
      <w:pPr>
        <w:pStyle w:val="Heading2"/>
      </w:pPr>
      <w:r>
        <w:t>COVID-19 verschärfte Angst und Depression nicht generell – Befunde aus Deutschland, Frankreich und Niederlanden</w:t>
      </w:r>
    </w:p>
    <w:p>
      <w:r>
        <w:rPr>
          <w:i/>
          <w:color w:val="666666"/>
          <w:sz w:val="18"/>
        </w:rPr>
        <w:t>Czepiel D et al.  ·  Epidemiol Psychiatr Sci  ·  24.09.2026  ·  PMID 42781737</w:t>
      </w:r>
    </w:p>
    <w:p>
      <w:r>
        <w:t>Kohortenstudie aus drei europäischen Ländern, die Depressions- und Angstverlauf von vor und während der Pandemie verglich und Unterschiede zwischen Allgemeinbevölkerung und Patienten mit Vordiagnose psychischer Störungen untersuchte.</w:t>
      </w:r>
    </w:p>
    <w:p>
      <w:r>
        <w:rPr>
          <w:b/>
        </w:rPr>
        <w:t xml:space="preserve">Ergebnis: </w:t>
      </w:r>
      <w:r>
        <w:t>In der Allgemeinbevölkerung (n=1.813) zeigten etwa 80 % stabile oder sinkende Symptome; in der klinischen Stichprobe (n=1.069) verbesserte sich etwa die Hälfte von moderaten Ausgangswerten. Die oft beschworene psychische Krise ließ sich nicht nachweisen – Symptommuster waren heterogen und abhängig von sozialen Faktoren wie Beziehungsstatus und Elternrolle.</w:t>
      </w:r>
    </w:p>
    <w:p>
      <w:r>
        <w:rPr>
          <w:b/>
          <w:sz w:val="19"/>
        </w:rPr>
        <w:t xml:space="preserve">Übertragbarkeit: </w:t>
      </w:r>
      <w:r>
        <w:rPr>
          <w:sz w:val="19"/>
        </w:rPr>
        <w:t>Harmonisierte Daten aus Deutschland, Frankreich, Niederlanden – direkt auf deutsche Versorgung übertragbar.</w:t>
      </w:r>
    </w:p>
    <w:p>
      <w:r>
        <w:rPr>
          <w:color w:val="5A7D3A"/>
          <w:sz w:val="18"/>
        </w:rPr>
        <w:t>https://pubmed.ncbi.nlm.nih.gov/42781737/</w:t>
      </w:r>
    </w:p>
    <w:p>
      <w:pPr>
        <w:pStyle w:val="Heading2"/>
      </w:pPr>
      <w:r>
        <w:t>Tabakentwöhnung bei psychischen Erkrankungen durchführbar – Leitlinien-konforme Therapie wird angenommen</w:t>
      </w:r>
    </w:p>
    <w:p>
      <w:r>
        <w:rPr>
          <w:i/>
          <w:color w:val="666666"/>
          <w:sz w:val="18"/>
        </w:rPr>
        <w:t>Bück J et al.  ·  JMIR Form Res  ·  23.09.2026  ·  PMID 42777260</w:t>
      </w:r>
    </w:p>
    <w:p>
      <w:r>
        <w:t>Qualitative Studie mit 11 Patienten, die an standardisierter verhaltenstherapeutischer Tabakentwöhnung teilnahmen und später zu ihren Erfahrungen interviewt wurden – diverse Abstinenzverlauf einschließlich Rückfälle.</w:t>
      </w:r>
    </w:p>
    <w:p>
      <w:r>
        <w:rPr>
          <w:b/>
        </w:rPr>
        <w:t xml:space="preserve">Ergebnis: </w:t>
      </w:r>
      <w:r>
        <w:t>Patienten berichteten Raucherentwöhnung als multidimensionalen Prozess jenseits bloßer Verhaltensänderung; persistierten psychische Sorgen über Folgen der Entwöhnung, trotz überwiegend positiver oder neutraler tatsächlicher Ergebnisse. Empfehlungen: gezielte Psychoedukation zu Misskonzeptionen, individualisierte und flexiblere Behandlungsanpassung.</w:t>
      </w:r>
    </w:p>
    <w:p>
      <w:r>
        <w:rPr>
          <w:b/>
          <w:sz w:val="19"/>
        </w:rPr>
        <w:t xml:space="preserve">Übertragbarkeit: </w:t>
      </w:r>
      <w:r>
        <w:rPr>
          <w:sz w:val="19"/>
        </w:rPr>
        <w:t>Deutsche Studienzentren, leitlinienkonform – Befunde zu Barrieren und Wirkfaktoren unmittelbar relevant.</w:t>
      </w:r>
    </w:p>
    <w:p>
      <w:r>
        <w:rPr>
          <w:color w:val="5A7D3A"/>
          <w:sz w:val="18"/>
        </w:rPr>
        <w:t>https://pubmed.ncbi.nlm.nih.gov/42777260/</w:t>
      </w:r>
    </w:p>
    <w:p>
      <w:pPr>
        <w:pStyle w:val="Heading2"/>
      </w:pPr>
      <w:r>
        <w:t>Psychische Belastung in spanischen Gefängnissen – Isolationshaft verdoppelt Psychopharmaka-Einnahme</w:t>
      </w:r>
    </w:p>
    <w:p>
      <w:r>
        <w:rPr>
          <w:i/>
          <w:color w:val="666666"/>
          <w:sz w:val="18"/>
        </w:rPr>
        <w:t>Meneses-Falcón C et al.  ·  Arch Womens Ment Health  ·  22.09.2026  ·  PMID 42771056</w:t>
      </w:r>
    </w:p>
    <w:p>
      <w:r>
        <w:t>Querschnittsstudie an 1.544 Frauen in 39 spanischen Gefängnissen mit standardisiertem Fragebogen zur Medikamenteneinnahme und psychischen Problemen.</w:t>
      </w:r>
    </w:p>
    <w:p>
      <w:r>
        <w:rPr>
          <w:b/>
        </w:rPr>
        <w:t xml:space="preserve">Ergebnis: </w:t>
      </w:r>
      <w:r>
        <w:t>44,1 % nahmen Psychopharmaka; Isolationshaft war mit 2,65-fach höherer Wahrscheinlichkeit für psychiatrische Medikation verbunden (OR 2,65). Weitere Risiken: spanische Nationalität (OR 5,31), intellektuelle Behinderung (OR 7,88), Selbstverletzung (OR 4,89). Schlussfolgerung: Isolationshaft wegen negativer mentaler Effekte in Frage gestellt; therapeutisches Modell mit Geschlechterperspektive notwendig.</w:t>
      </w:r>
    </w:p>
    <w:p>
      <w:r>
        <w:rPr>
          <w:b/>
          <w:sz w:val="19"/>
        </w:rPr>
        <w:t xml:space="preserve">Übertragbarkeit: </w:t>
      </w:r>
      <w:r>
        <w:rPr>
          <w:sz w:val="19"/>
        </w:rPr>
        <w:t>Spanien – europäisches Gefängnissystem mit Parallelen zu Deutschland; Befund zu Isolationshaft relevant für Zwangsmittel-Debatte.</w:t>
      </w:r>
    </w:p>
    <w:p>
      <w:r>
        <w:rPr>
          <w:color w:val="5A7D3A"/>
          <w:sz w:val="18"/>
        </w:rPr>
        <w:t>https://pubmed.ncbi.nlm.nih.gov/42771056/</w:t>
      </w:r>
    </w:p>
    <w:p>
      <w:pPr>
        <w:pStyle w:val="Heading1"/>
      </w:pPr>
      <w:r>
        <w:t>Aufgenommen am 24.09.2026</w:t>
      </w:r>
    </w:p>
    <w:p>
      <w:pPr>
        <w:pStyle w:val="Heading2"/>
      </w:pPr>
      <w:r>
        <w:t>Peer Support in Early-Psychosis-Programmen: Verbreitung und Finanzierungsstrukturen</w:t>
      </w:r>
    </w:p>
    <w:p>
      <w:r>
        <w:rPr>
          <w:i/>
          <w:color w:val="666666"/>
          <w:sz w:val="18"/>
        </w:rPr>
        <w:t>Marshall T et al.  ·  Early Interv Psychiatry  ·  Sept. 2026  ·  PMID 42778307</w:t>
      </w:r>
    </w:p>
    <w:p>
      <w:r>
        <w:t>Querschnittsstudie zu 111 US-amerikanischen Early Psychosis Intervention Network (EPINET)-Programmen mit Koordinierter Spezialversorgung (CSC) bzgl. Verfügbarkeit und Finanzierung von Peer Support und Family Peer Support.</w:t>
      </w:r>
    </w:p>
    <w:p>
      <w:r>
        <w:rPr>
          <w:b/>
        </w:rPr>
        <w:t xml:space="preserve">Ergebnis: </w:t>
      </w:r>
      <w:r>
        <w:t>80% der Programme boten Peer Support an, 59% Family Peer Support. Staats-Finanzierung und -Förderung waren mit Angeboten von Peer Support und Family Peer Support assoziiert. Obwohl nicht ursprünglicher Kern-Service, zeigt die hohe Quote an – dass Peer Support als Standard etabliert ist – die Notwendigkeit von Forschung zu Variations- und Effekt-Mustern.</w:t>
      </w:r>
    </w:p>
    <w:p>
      <w:r>
        <w:rPr>
          <w:b/>
          <w:sz w:val="19"/>
        </w:rPr>
        <w:t xml:space="preserve">Übertragbarkeit: </w:t>
      </w:r>
      <w:r>
        <w:rPr>
          <w:sz w:val="19"/>
        </w:rPr>
        <w:t>USA – Finanzierungs- und Koordinierungsmodell nicht übertragbar, aber Erkenntnis zu Peer-Support-Integration relevant</w:t>
      </w:r>
    </w:p>
    <w:p>
      <w:r>
        <w:rPr>
          <w:color w:val="5A7D3A"/>
          <w:sz w:val="18"/>
        </w:rPr>
        <w:t>https://pubmed.ncbi.nlm.nih.gov/42778307/</w:t>
      </w:r>
    </w:p>
    <w:p>
      <w:pPr>
        <w:pStyle w:val="Heading2"/>
      </w:pPr>
      <w:r>
        <w:t>Langzeit-Verlaufstypen nach Early Intervention bei Psychose: 10-Jahre-Studie</w:t>
      </w:r>
    </w:p>
    <w:p>
      <w:r>
        <w:rPr>
          <w:i/>
          <w:color w:val="666666"/>
          <w:sz w:val="18"/>
        </w:rPr>
        <w:t>Percie du Sert O et al.  ·  Early Interv Psychiatry  ·  Sept. 2026  ·  PMID 42778287</w:t>
      </w:r>
    </w:p>
    <w:p>
      <w:r>
        <w:t>Studienprotokoll für 10-Jahre-Nachbeobachtung von 689 Personen (14-35 Jahre) mit Erstpsychose aus dem Prevention and Early Intervention Program for Psychoses (PEPP-Montreal), mit administrativen Datenbanken verlinkt, um Langzeit-Trajektorien und Vorhersagefaktoren zu identifizieren.</w:t>
      </w:r>
    </w:p>
    <w:p>
      <w:r>
        <w:rPr>
          <w:b/>
        </w:rPr>
        <w:t xml:space="preserve">Ergebnis: </w:t>
      </w:r>
      <w:r>
        <w:t>Studie noch nicht abgeschlossen (Datenanalyse nach Erreichen des primären Endpoints); wird Heterogenität von Verlaufs-Trajektorien über multiple Outcome-Dimensionen modellieren und frühe Vorhersagefaktoren für Langzeitergebnisse charakterisieren. Soll unterscheiden, ob während kritischer Phase geprägte Trajektorien langfristig erhalten bleiben.</w:t>
      </w:r>
    </w:p>
    <w:p>
      <w:r>
        <w:rPr>
          <w:b/>
          <w:sz w:val="19"/>
        </w:rPr>
        <w:t xml:space="preserve">Übertragbarkeit: </w:t>
      </w:r>
      <w:r>
        <w:rPr>
          <w:sz w:val="19"/>
        </w:rPr>
        <w:t>Kanada, universales Gesundheitssystem mit definierten Einzugsgebieten – Vorläufer-Daten verfügbar, Langzeit-Struktur relevant</w:t>
      </w:r>
    </w:p>
    <w:p>
      <w:r>
        <w:rPr>
          <w:color w:val="5A7D3A"/>
          <w:sz w:val="18"/>
        </w:rPr>
        <w:t>https://pubmed.ncbi.nlm.nih.gov/42778287/</w:t>
      </w:r>
    </w:p>
    <w:p>
      <w:pPr>
        <w:pStyle w:val="Heading2"/>
      </w:pPr>
      <w:r>
        <w:t>De-Eskalation in stationärer psychiatrischer Versorgung: Faktoren für erfolgreiche Umsetzung</w:t>
      </w:r>
    </w:p>
    <w:p>
      <w:r>
        <w:rPr>
          <w:i/>
          <w:color w:val="666666"/>
          <w:sz w:val="18"/>
        </w:rPr>
        <w:t>Ugwuocha NW et al.  ·  Int J Ment Health Nurs  ·  Okt. 2026  ·  PMID 42775399</w:t>
      </w:r>
    </w:p>
    <w:p>
      <w:r>
        <w:t>Narrative Synthese der Evidenz zum De-Eskalationstraining und zur Verringerung restriktiver Maßnahmen in britischen Akutkliniken (2014-2024); Identifikation von Bedingungen für gelungene De-Eskalation.</w:t>
      </w:r>
    </w:p>
    <w:p>
      <w:r>
        <w:rPr>
          <w:b/>
        </w:rPr>
        <w:t xml:space="preserve">Ergebnis: </w:t>
      </w:r>
      <w:r>
        <w:t>Drei interdependente Domänen strukturieren De-Eskalationspraxis: Therapeutische Beziehungen und emotionale Intelligenz des Personals; Fachkompetenz durch Simulation und Team-Reflexion; Organisationskontext (Personalausstattung, Führung, Stationsumgebung, Sicherheitskultur, Equity-Vorkehrungen). De-Eskalation entsteht aus Alignment zwischen relationalem Prozess, Fachkompetenz und Organisationsbedingungen – nicht Trainingstechniken allein.</w:t>
      </w:r>
    </w:p>
    <w:p>
      <w:r>
        <w:rPr>
          <w:b/>
          <w:sz w:val="19"/>
        </w:rPr>
        <w:t xml:space="preserve">Übertragbarkeit: </w:t>
      </w:r>
      <w:r>
        <w:rPr>
          <w:sz w:val="19"/>
        </w:rPr>
        <w:t>Großbritannien, vergleichbares NHS-System mit festgestelltem Zwang-Reduktions-Auftrag</w:t>
      </w:r>
    </w:p>
    <w:p>
      <w:r>
        <w:rPr>
          <w:color w:val="5A7D3A"/>
          <w:sz w:val="18"/>
        </w:rPr>
        <w:t>https://pubmed.ncbi.nlm.nih.gov/42775399/</w:t>
      </w:r>
    </w:p>
    <w:p>
      <w:pPr>
        <w:pStyle w:val="Heading2"/>
      </w:pPr>
      <w:r>
        <w:t>Diätassistenten in der Versorgung psychisch erkrankter Menschen: Barrieren und Potenziale</w:t>
      </w:r>
    </w:p>
    <w:p>
      <w:r>
        <w:rPr>
          <w:i/>
          <w:color w:val="666666"/>
          <w:sz w:val="18"/>
        </w:rPr>
        <w:t>Hsu MSH et al.  ·  J Hum Nutr Diet  ·  Okt. 2026  ·  PMID 42773647</w:t>
      </w:r>
    </w:p>
    <w:p>
      <w:r>
        <w:t>Qualitative Interview-Studie mit 14 Diätassistenten (7 privatpraxis, 7 öffentliche Dienste) in Australien zu ihren Erfahrungen, Barrieren und Chancen bei der Unterstützung psychisch erkrankter Menschen.</w:t>
      </w:r>
    </w:p>
    <w:p>
      <w:r>
        <w:rPr>
          <w:b/>
        </w:rPr>
        <w:t xml:space="preserve">Ergebnis: </w:t>
      </w:r>
      <w:r>
        <w:t>5 Hauptthemen: (1) Komplexe Bedarfe psychisch erkrankter Personen; (2) Zugangsbarrieren für private Diätassistenten (Finanzierung, Überweisungen); (3) Lücken in psychisch-gesundheitsspezifischer Ausbildung; (4) Strukturelle Grenzen privater Versorgung; (5) Vorteile integrierter Spezialversorgung. Empfehlung: Reformen in Finanzierung, Training und Überweisungssystemen notwendig für gerechte, gemeindenahe Ernährungsunterstützung.</w:t>
      </w:r>
    </w:p>
    <w:p>
      <w:r>
        <w:rPr>
          <w:b/>
          <w:sz w:val="19"/>
        </w:rPr>
        <w:t xml:space="preserve">Übertragbarkeit: </w:t>
      </w:r>
      <w:r>
        <w:rPr>
          <w:sz w:val="19"/>
        </w:rPr>
        <w:t>Australien – anderes Finanzierungssystem, aber Integrations- und Schulungs-Erkenntnisse übertragbar</w:t>
      </w:r>
    </w:p>
    <w:p>
      <w:r>
        <w:rPr>
          <w:color w:val="5A7D3A"/>
          <w:sz w:val="18"/>
        </w:rPr>
        <w:t>https://pubmed.ncbi.nlm.nih.gov/42773647/</w:t>
      </w:r>
    </w:p>
    <w:p>
      <w:pPr>
        <w:pStyle w:val="Heading2"/>
      </w:pPr>
      <w:r>
        <w:t>Barrieren und Förderfaktoren bei der Hilfesuche für postpartale Depression und Angststörung</w:t>
      </w:r>
    </w:p>
    <w:p>
      <w:r>
        <w:rPr>
          <w:i/>
          <w:color w:val="666666"/>
          <w:sz w:val="18"/>
        </w:rPr>
        <w:t>Büssow AL et al.  ·  BMC Psychiatry  ·  17.08.2026  ·  PMID 42773421</w:t>
      </w:r>
    </w:p>
    <w:p>
      <w:r>
        <w:t>Querschnittsstudie (N=4624 Frauen in Dresden) zu Faktoren, die mit der Bereitschaft und dem tatsächlichen Verhalten bezüglich Hilfesuche für psychische Erkrankungen nach der Geburt verbunden sind.</w:t>
      </w:r>
    </w:p>
    <w:p>
      <w:r>
        <w:rPr>
          <w:b/>
        </w:rPr>
        <w:t xml:space="preserve">Ergebnis: </w:t>
      </w:r>
      <w:r>
        <w:t>Negative Gesundheitsüberzeugungen zeigten die stärksten negativen Effekte auf die Hilfesuche-Absicht bei allen Gruppen. Erkennung einer psychischen Störung war der wichtigste Faktor für tatsächliche Hilfesuche. Frauen mit Migrationshintergrund, niedrigerem Einkommen und ohne vorherige Inanspruchnahme von Psychisch-Kranken-Diensten suchten weniger Hilfe. Routine-Screening und Aufklärungskampagnen für positive Gesundheitsüberzeugungen könnten die Hilfesuche verbessern.</w:t>
      </w:r>
    </w:p>
    <w:p>
      <w:r>
        <w:rPr>
          <w:b/>
          <w:sz w:val="19"/>
        </w:rPr>
        <w:t xml:space="preserve">Übertragbarkeit: </w:t>
      </w:r>
      <w:r>
        <w:rPr>
          <w:sz w:val="19"/>
        </w:rPr>
        <w:t>Deutsche Klinikdaten, Terminservicestellen-relevante Screening- und Zuweisungspraxis</w:t>
      </w:r>
    </w:p>
    <w:p>
      <w:r>
        <w:rPr>
          <w:color w:val="5A7D3A"/>
          <w:sz w:val="18"/>
        </w:rPr>
        <w:t>https://pubmed.ncbi.nlm.nih.gov/42773421/</w:t>
      </w:r>
    </w:p>
    <w:p>
      <w:pPr>
        <w:pStyle w:val="Heading1"/>
      </w:pPr>
      <w:r>
        <w:t>Aufgenommen am 23.09.2026</w:t>
      </w:r>
    </w:p>
    <w:p>
      <w:pPr>
        <w:pStyle w:val="Heading2"/>
      </w:pPr>
      <w:r>
        <w:t>Nur 20,9 % der psychisch Kranken in der Türkei erhalten Behandlung, 6,6 % ausreichende Behandlung</w:t>
      </w:r>
    </w:p>
    <w:p>
      <w:r>
        <w:rPr>
          <w:i/>
          <w:color w:val="666666"/>
          <w:sz w:val="18"/>
        </w:rPr>
        <w:t>Kiliç C et al.  ·  Turk Psikiyatri Derg  ·  2026  ·  PMID 42768881</w:t>
      </w:r>
    </w:p>
    <w:p>
      <w:r>
        <w:t>Landesweite Befragung von 1.790 Erwachsenen zur Behandlung von Angststörungen, Stimmungsstörungen und externalisierenden Störungen in der türkischen Bevölkerung (DSM-5).</w:t>
      </w:r>
    </w:p>
    <w:p>
      <w:r>
        <w:rPr>
          <w:b/>
        </w:rPr>
        <w:t xml:space="preserve">Ergebnis: </w:t>
      </w:r>
      <w:r>
        <w:t>Prävalenz psychischer Störungen 23,9 %, davon 20,9 % behandelt, nur 6,6 % mit minimal angemessener Behandlung (MAT). Behandlung stieg mit Schweregrad, aber MAT nicht. Frauen und früher verheiratete Personen höhere Quoten. Ein klarer Versorgungsgap.</w:t>
      </w:r>
    </w:p>
    <w:p>
      <w:r>
        <w:rPr>
          <w:b/>
          <w:sz w:val="19"/>
        </w:rPr>
        <w:t xml:space="preserve">Übertragbarkeit: </w:t>
      </w:r>
      <w:r>
        <w:rPr>
          <w:sz w:val="19"/>
        </w:rPr>
        <w:t>Türkei, nicht-europäisches Versicherungssystem; Befund zum Behandlungsgap international relevant.</w:t>
      </w:r>
    </w:p>
    <w:p>
      <w:r>
        <w:rPr>
          <w:color w:val="5A7D3A"/>
          <w:sz w:val="18"/>
        </w:rPr>
        <w:t>https://pubmed.ncbi.nlm.nih.gov/42768881/</w:t>
      </w:r>
    </w:p>
    <w:p>
      <w:pPr>
        <w:pStyle w:val="Heading2"/>
      </w:pPr>
      <w:r>
        <w:t>Transdiagnostische Psychotherapie bei Angst und Depression in Pakistan machbar und akzeptabel</w:t>
      </w:r>
    </w:p>
    <w:p>
      <w:r>
        <w:rPr>
          <w:i/>
          <w:color w:val="666666"/>
          <w:sz w:val="18"/>
        </w:rPr>
        <w:t>Nisa A et al.  ·  BMC Psychiatry  ·  21.09.2026  ·  PMID 42768329</w:t>
      </w:r>
    </w:p>
    <w:p>
      <w:r>
        <w:t>Pilot-RCT der Urdu-adaptierten Unified Protocol (UA-UP) in Pakistan bei 51 Patienten mit Angststörungen und/oder Depressionen (14 Wochen, n=25 Intervention, n=26 Warteliste).</w:t>
      </w:r>
    </w:p>
    <w:p>
      <w:r>
        <w:rPr>
          <w:b/>
        </w:rPr>
        <w:t xml:space="preserve">Ergebnis: </w:t>
      </w:r>
      <w:r>
        <w:t>Rekrutierung 85,7 %, Retention 82,4 %, Hausaufgaben-Compliance 79 %, Zufriedenheit CSQ-8=29,65. Große Effekte: Angst g=1,18, Depression g=1,15. Kulturelle Anpassung entscheidend für Engagement.</w:t>
      </w:r>
    </w:p>
    <w:p>
      <w:r>
        <w:rPr>
          <w:b/>
          <w:sz w:val="19"/>
        </w:rPr>
        <w:t xml:space="preserve">Übertragbarkeit: </w:t>
      </w:r>
      <w:r>
        <w:rPr>
          <w:sz w:val="19"/>
        </w:rPr>
        <w:t>Pakistan, Niedrig-Ressourcen-Kontext; Machbarkeitsbefund für skalierbare, kostengünstige transdiagnostische Interventionen relevant.</w:t>
      </w:r>
    </w:p>
    <w:p>
      <w:r>
        <w:rPr>
          <w:color w:val="5A7D3A"/>
          <w:sz w:val="18"/>
        </w:rPr>
        <w:t>https://pubmed.ncbi.nlm.nih.gov/42768329/</w:t>
      </w:r>
    </w:p>
    <w:p>
      <w:pPr>
        <w:pStyle w:val="Heading2"/>
      </w:pPr>
      <w:r>
        <w:t>Früherkennung von Psychose bei autistischen Erwachsenen: PQ-16 hat Screening-Wert</w:t>
      </w:r>
    </w:p>
    <w:p>
      <w:r>
        <w:rPr>
          <w:i/>
          <w:color w:val="666666"/>
          <w:sz w:val="18"/>
        </w:rPr>
        <w:t>Basic D et al.  ·  Schizophr Bull  ·  20.08.2026  ·  PMID 42755260</w:t>
      </w:r>
    </w:p>
    <w:p>
      <w:r>
        <w:t>Querschnitt- und Längsschnitstudie zu Validierung des Prodromal Questionnaire-16 (PQ-16) bei 1.686 autistischen Erwachsenen aus Niederlandes Autism Register; Vorhersage psychose-ähnlicher Symptome und Schizophrenie-Spektrum-Diagnosen.</w:t>
      </w:r>
    </w:p>
    <w:p>
      <w:r>
        <w:rPr>
          <w:b/>
        </w:rPr>
        <w:t xml:space="preserve">Ergebnis: </w:t>
      </w:r>
      <w:r>
        <w:t>34,1 % schritten über PQ-16-Cutoff (≥6). Neuauftreten von Schizophrenie-Spektrum-Diagnosen 1,4 % (5/361, nur in Cutoff+-Gruppe 3,2 %). ROC-Analysen deuten auf Diskriminationsfähigkeit hin; PQ-16 identifiziert Muster abgeschwächter psychotischer Symptome.</w:t>
      </w:r>
    </w:p>
    <w:p>
      <w:r>
        <w:rPr>
          <w:b/>
          <w:sz w:val="19"/>
        </w:rPr>
        <w:t xml:space="preserve">Übertragbarkeit: </w:t>
      </w:r>
      <w:r>
        <w:rPr>
          <w:sz w:val="19"/>
        </w:rPr>
        <w:t>Niederlande, großer autistischer Kohorte; Screening-Validität unabhängig vom Gesundheitssystem.</w:t>
      </w:r>
    </w:p>
    <w:p>
      <w:r>
        <w:rPr>
          <w:color w:val="5A7D3A"/>
          <w:sz w:val="18"/>
        </w:rPr>
        <w:t>https://pubmed.ncbi.nlm.nih.gov/42755260/</w:t>
      </w:r>
    </w:p>
    <w:p>
      <w:pPr>
        <w:pStyle w:val="Heading2"/>
      </w:pPr>
      <w:r>
        <w:t>Geschlechtsidentität und Psychiatrie: Integrating Gender in Mental Health Care</w:t>
      </w:r>
    </w:p>
    <w:p>
      <w:r>
        <w:rPr>
          <w:i/>
          <w:color w:val="666666"/>
          <w:sz w:val="18"/>
        </w:rPr>
        <w:t>Rrustemi E et al.  ·  Rev Med Suisse  ·  16.09.2026  ·  PMID 42750577</w:t>
      </w:r>
    </w:p>
    <w:p>
      <w:r>
        <w:t>Perspektive einer Gender-sensiblen psychiatrischen Versorgung in der Schweiz: Geschlechterrolle, Normen und soziale Verhältnisse beeinflussen Zugang zu Hilfe und psychische Erkrankungen.</w:t>
      </w:r>
    </w:p>
    <w:p>
      <w:r>
        <w:rPr>
          <w:b/>
        </w:rPr>
        <w:t xml:space="preserve">Ergebnis: </w:t>
      </w:r>
      <w:r>
        <w:t>Kernaussage: Psychiatrische Versorgung muss psychische Störungen in ihrem sozialen Kontext verstehen; methodische Ansätze des Gender*CoLaus-Projekts erfassen Geschlechtsdimensionen für präzisere Forschung und gerechtere klinische Praxis.</w:t>
      </w:r>
    </w:p>
    <w:p>
      <w:r>
        <w:rPr>
          <w:b/>
          <w:sz w:val="19"/>
        </w:rPr>
        <w:t xml:space="preserve">Übertragbarkeit: </w:t>
      </w:r>
      <w:r>
        <w:rPr>
          <w:sz w:val="19"/>
        </w:rPr>
        <w:t>Schweiz, vergleichbares Versicherungssystem; Fokus auf Ungleichheit und Zugang zentral für deutschsprachigen Raum.</w:t>
      </w:r>
    </w:p>
    <w:p>
      <w:r>
        <w:rPr>
          <w:color w:val="5A7D3A"/>
          <w:sz w:val="18"/>
        </w:rPr>
        <w:t>https://pubmed.ncbi.nlm.nih.gov/42750577/</w:t>
      </w:r>
    </w:p>
    <w:p>
      <w:pPr>
        <w:pStyle w:val="Heading2"/>
      </w:pPr>
      <w:r>
        <w:t>Konsens über Methoden für psychosoziale Demenz-Interventionsforschung: Delphi-Studie mit Stakeholdern</w:t>
      </w:r>
    </w:p>
    <w:p>
      <w:r>
        <w:rPr>
          <w:i/>
          <w:color w:val="666666"/>
          <w:sz w:val="18"/>
        </w:rPr>
        <w:t>Bartels SL et al.  ·  BMJ Open  ·  02.09.2026  ·  PMID 42692512</w:t>
      </w:r>
    </w:p>
    <w:p>
      <w:r>
        <w:t>Multi-Phasen-Delphi-Studie mit Menschen mit Demenz, Angehörigen, Fachpersonen, Politikern und Versicherern zur Identifikation von Kernkompetenzen und geeigneten Methoden für Interventionsentwicklung.</w:t>
      </w:r>
    </w:p>
    <w:p>
      <w:r>
        <w:rPr>
          <w:b/>
        </w:rPr>
        <w:t xml:space="preserve">Ergebnis: </w:t>
      </w:r>
      <w:r>
        <w:t>Konsensus über 6 Kernelemente pro Phase (berücksichtigen von Kontext, Programmtheorie, Stakeholder-Engagement, Unsicherheiten, Verfeinerung, ökonomische Aspekte). Methodische Empfehlungen für alle Phasen der Interventionsentwicklung, mit Fokus auf Co-Design.</w:t>
      </w:r>
    </w:p>
    <w:p>
      <w:r>
        <w:rPr>
          <w:b/>
          <w:sz w:val="19"/>
        </w:rPr>
        <w:t xml:space="preserve">Übertragbarkeit: </w:t>
      </w:r>
      <w:r>
        <w:rPr>
          <w:sz w:val="19"/>
        </w:rPr>
        <w:t>Europäisches Multiländer-Konsortium (Niederlande, UK, Schweden, Belgien); übertragbar auf deutschsprachigen Kontext.</w:t>
      </w:r>
    </w:p>
    <w:p>
      <w:r>
        <w:rPr>
          <w:color w:val="5A7D3A"/>
          <w:sz w:val="18"/>
        </w:rPr>
        <w:t>https://pubmed.ncbi.nlm.nih.gov/42692512/</w:t>
      </w:r>
    </w:p>
    <w:p>
      <w:pPr>
        <w:pStyle w:val="Heading1"/>
      </w:pPr>
      <w:r>
        <w:t>Aufgenommen am 22.09.2026</w:t>
      </w:r>
    </w:p>
    <w:p>
      <w:pPr>
        <w:pStyle w:val="Heading2"/>
      </w:pPr>
      <w:r>
        <w:t>Restorative Circles für Migrantencommunities: Community-getriebene Traumabehandlung</w:t>
      </w:r>
    </w:p>
    <w:p>
      <w:r>
        <w:rPr>
          <w:i/>
          <w:color w:val="666666"/>
          <w:sz w:val="18"/>
        </w:rPr>
        <w:t>J Health Care Poor Underserved  ·  2026  ·  PMID 42766509</w:t>
      </w:r>
    </w:p>
    <w:p>
      <w:r>
        <w:t>Drei Fokusgruppen mit insgesamt 34 Angehörigen von Latine- und Präkolumbischer Indigenous-Immigrant Communities in ländlichem Kalifornien zu Erfahrungen mit Traumatisierung und Bedarf an Psychotherapie.</w:t>
      </w:r>
    </w:p>
    <w:p>
      <w:r>
        <w:rPr>
          <w:b/>
        </w:rPr>
        <w:t xml:space="preserve">Ergebnis: </w:t>
      </w:r>
      <w:r>
        <w:t>Umgesiedelte Migranten (n=14): Post-COVID-Trauma, ökonomische Prekarität, psychische Last undokumentierter Status; Farmarbeiter (n=10): Schulgewalt und Substanzmissbrauch; Purépecha-Gemeinschaft (n=10): Suizidalität, Stigmatisierung, extreme Ressourcenknappheit; alle Gruppen: Diskriminierung und schulisches Mobbing als persistente Probleme.</w:t>
      </w:r>
    </w:p>
    <w:p>
      <w:r>
        <w:rPr>
          <w:b/>
          <w:sz w:val="19"/>
        </w:rPr>
        <w:t xml:space="preserve">Übertragbarkeit: </w:t>
      </w:r>
      <w:r>
        <w:rPr>
          <w:sz w:val="19"/>
        </w:rPr>
        <w:t>USA/Kalifornien; Befund zum Bedarf für kulturell angepasste, partizipativ entwickelte Angebote, nicht Versicherungssystem gebunden</w:t>
      </w:r>
    </w:p>
    <w:p>
      <w:r>
        <w:rPr>
          <w:color w:val="5A7D3A"/>
          <w:sz w:val="18"/>
        </w:rPr>
        <w:t>https://pubmed.ncbi.nlm.nih.gov/42766509/</w:t>
      </w:r>
    </w:p>
    <w:p>
      <w:pPr>
        <w:pStyle w:val="Heading2"/>
      </w:pPr>
      <w:r>
        <w:t>Prolonged Exposure in der Routineversorgung: Machbarkeit, Sicherheit und Wirksamkeit</w:t>
      </w:r>
    </w:p>
    <w:p>
      <w:r>
        <w:rPr>
          <w:i/>
          <w:color w:val="666666"/>
          <w:sz w:val="18"/>
        </w:rPr>
        <w:t>Eur J Psychotraumatol  ·  2026  ·  PMID 42766476</w:t>
      </w:r>
    </w:p>
    <w:p>
      <w:r>
        <w:t>95 Patienten mit PTSD erhielten Prolonged Exposure in einem französischen ambulanten Zentrum; Outcome gemessen mit Clinician-Administered PTSD Scale und PCL-5 bei Aufnahme, vor/nach Behandlung und 3-Monats-Follow-up.</w:t>
      </w:r>
    </w:p>
    <w:p>
      <w:r>
        <w:rPr>
          <w:b/>
        </w:rPr>
        <w:t xml:space="preserve">Ergebnis: </w:t>
      </w:r>
      <w:r>
        <w:t>75,5 % erreichten wahrscheinliche Remission (PCL-5 &lt; 33); 79,8 % zeigten klinisch signifikante Verbesserung (≥ 10-Punkte-Reduktion); großer Effekt prä- zu post-Behandlung (d = 1,88, p &lt; 0,001); Dropout-Rate 9,5 %; 1 % zeigten zuverlässige Verschlechterung.</w:t>
      </w:r>
    </w:p>
    <w:p>
      <w:r>
        <w:rPr>
          <w:b/>
          <w:sz w:val="19"/>
        </w:rPr>
        <w:t xml:space="preserve">Übertragbarkeit: </w:t>
      </w:r>
      <w:r>
        <w:rPr>
          <w:sz w:val="19"/>
        </w:rPr>
        <w:t>Frankreich, ambulante Regelversorgung ohne spezialisierte Therapieinfrastruktur</w:t>
      </w:r>
    </w:p>
    <w:p>
      <w:r>
        <w:rPr>
          <w:color w:val="5A7D3A"/>
          <w:sz w:val="18"/>
        </w:rPr>
        <w:t>https://pubmed.ncbi.nlm.nih.gov/42766476/</w:t>
      </w:r>
    </w:p>
    <w:p>
      <w:pPr>
        <w:pStyle w:val="Heading2"/>
      </w:pPr>
      <w:r>
        <w:t>Valproat senkt Wiederaufnahmerate nach First Episode Mania – taiwanesische Kohorte</w:t>
      </w:r>
    </w:p>
    <w:p>
      <w:r>
        <w:rPr>
          <w:i/>
          <w:color w:val="666666"/>
          <w:sz w:val="18"/>
        </w:rPr>
        <w:t>Bipolar Disord  ·  2026  ·  PMID 42765449</w:t>
      </w:r>
    </w:p>
    <w:p>
      <w:r>
        <w:t>Propensity-Score-gematchte Kohorte (Taiwans Nationale Krankenversicherung 2011–2022) mit 3.909 Patienten: Lithium+Antipsychotika vs. Valproat+Antipsychotika nach erster stationärer Behandlung einer Manie.</w:t>
      </w:r>
    </w:p>
    <w:p>
      <w:r>
        <w:rPr>
          <w:b/>
        </w:rPr>
        <w:t xml:space="preserve">Ergebnis: </w:t>
      </w:r>
      <w:r>
        <w:t>Valproat+AAP mit niedrigerem Wiederaufnahmerisiko als Lithium+AAP (HR 1,18, 95% CI 1,03–1,35); hauptsächlich durch Manie getrieben (HR 1,16, 95% CI 1,01–1,35); annualisierte Wiederaufnahmerate höher mit Lithium (IRR 1,34, 95% CI 1,17–1,54).</w:t>
      </w:r>
    </w:p>
    <w:p>
      <w:r>
        <w:rPr>
          <w:b/>
          <w:sz w:val="19"/>
        </w:rPr>
        <w:t xml:space="preserve">Übertragbarkeit: </w:t>
      </w:r>
      <w:r>
        <w:rPr>
          <w:sz w:val="19"/>
        </w:rPr>
        <w:t>Taiwan; Versicherungsdaten international verwendbar, Befund vom System unabhängig</w:t>
      </w:r>
    </w:p>
    <w:p>
      <w:r>
        <w:rPr>
          <w:color w:val="5A7D3A"/>
          <w:sz w:val="18"/>
        </w:rPr>
        <w:t>https://pubmed.ncbi.nlm.nih.gov/42765449/</w:t>
      </w:r>
    </w:p>
    <w:p>
      <w:pPr>
        <w:pStyle w:val="Heading2"/>
      </w:pPr>
      <w:r>
        <w:t>Lithium und Valproat reduzieren Suizidrisiko gleich wirksam – Meta-Analyse</w:t>
      </w:r>
    </w:p>
    <w:p>
      <w:r>
        <w:rPr>
          <w:i/>
          <w:color w:val="666666"/>
          <w:sz w:val="18"/>
        </w:rPr>
        <w:t>Psychol Med  ·  2026  ·  PMID 42765379</w:t>
      </w:r>
    </w:p>
    <w:p>
      <w:r>
        <w:t>Retrospektive Kohorte mit 6.935 Patienten mit bipolarer Störung (Hongkong) plus Netzwerk-Meta-Analyse von RCTs und Beobachtungsstudien zum Vergleich von Lithium, Valproat und Kontrolle bei Suizidprävention.</w:t>
      </w:r>
    </w:p>
    <w:p>
      <w:r>
        <w:rPr>
          <w:b/>
        </w:rPr>
        <w:t xml:space="preserve">Ergebnis: </w:t>
      </w:r>
      <w:r>
        <w:t>Kohortenstudie: kein signifikanter Unterschied zwischen Lithium und Valproat (HR 0,76, 95% CI 0,54–1,08); Netzwerk-Meta-Analyse: beide Substanzen senken Suizidrisiko vs. Kontrolle (Lithium: HR 0,46, 95% CI 0,33–0,64; Valproat: HR 0,63, 95% CI 0,45–0,88); kein signifikanter Unterschied zwischen ihnen (HR 0,73, 95% CI 0,52–1,02).</w:t>
      </w:r>
    </w:p>
    <w:p>
      <w:r>
        <w:rPr>
          <w:b/>
          <w:sz w:val="19"/>
        </w:rPr>
        <w:t xml:space="preserve">Übertragbarkeit: </w:t>
      </w:r>
      <w:r>
        <w:rPr>
          <w:sz w:val="19"/>
        </w:rPr>
        <w:t>Hongkong/Taiwan, mit RCTs mehrerer Länder; Befund nicht an Sozialversicherungssystem gebunden</w:t>
      </w:r>
    </w:p>
    <w:p>
      <w:r>
        <w:rPr>
          <w:color w:val="5A7D3A"/>
          <w:sz w:val="18"/>
        </w:rPr>
        <w:t>https://pubmed.ncbi.nlm.nih.gov/42765379/</w:t>
      </w:r>
    </w:p>
    <w:p>
      <w:pPr>
        <w:pStyle w:val="Heading2"/>
      </w:pPr>
      <w:r>
        <w:t>EPICare: Nationale Lernplattform zur Psychose stärkt datengesteuerte Versorgung</w:t>
      </w:r>
    </w:p>
    <w:p>
      <w:r>
        <w:rPr>
          <w:i/>
          <w:color w:val="666666"/>
          <w:sz w:val="18"/>
        </w:rPr>
        <w:t>Early Interv Psychiatry  ·  2026  ·  PMID 42765287</w:t>
      </w:r>
    </w:p>
    <w:p>
      <w:r>
        <w:t>Multistakeholder-Kodesign entwickelte ein Datensystem für Early-Intervention-in-Psychosis-Services in England, das Ungleichheiten in der Behandlung und Recovery-Raten identifizieren und reduzieren soll.</w:t>
      </w:r>
    </w:p>
    <w:p>
      <w:r>
        <w:rPr>
          <w:b/>
        </w:rPr>
        <w:t xml:space="preserve">Ergebnis: </w:t>
      </w:r>
      <w:r>
        <w:t>Weniger als 40 % der Patienten erreichen vollständige klinische Genesung; Konsens für Core-Dataset und klinisches Dashboard erarbeitet; technisch machbar und national skalierbar.</w:t>
      </w:r>
    </w:p>
    <w:p>
      <w:r>
        <w:rPr>
          <w:b/>
          <w:sz w:val="19"/>
        </w:rPr>
        <w:t xml:space="preserve">Übertragbarkeit: </w:t>
      </w:r>
      <w:r>
        <w:rPr>
          <w:sz w:val="19"/>
        </w:rPr>
        <w:t>England, NHS-System mit vergleichbarer Dateninfrastruktur-Heterogenität</w:t>
      </w:r>
    </w:p>
    <w:p>
      <w:r>
        <w:rPr>
          <w:color w:val="5A7D3A"/>
          <w:sz w:val="18"/>
        </w:rPr>
        <w:t>https://pubmed.ncbi.nlm.nih.gov/42765287/</w:t>
      </w:r>
    </w:p>
    <w:p>
      <w:pPr>
        <w:pStyle w:val="Heading2"/>
      </w:pPr>
      <w:r>
        <w:t>Emotionsregulation vermittelt Symptomverbesserung bei web-basierten Essstörungsinterventionen</w:t>
      </w:r>
    </w:p>
    <w:p>
      <w:r>
        <w:rPr>
          <w:i/>
          <w:color w:val="666666"/>
          <w:sz w:val="18"/>
        </w:rPr>
        <w:t>Behav Res Ther  ·  2026  ·  PMID 42679628</w:t>
      </w:r>
    </w:p>
    <w:p>
      <w:r>
        <w:t>Zwei RCTs mit 308 Patienten mit Bulimia nervosa und Binge-Eating-Disorder untersuchten, ob Änderungen der Emotionsregulation mit Symptomverbesserung bei web-basierten kognitiv-behavioralen Selbsthilfe-Interventionen verbunden sind.</w:t>
      </w:r>
    </w:p>
    <w:p>
      <w:r>
        <w:rPr>
          <w:b/>
        </w:rPr>
        <w:t xml:space="preserve">Ergebnis: </w:t>
      </w:r>
      <w:r>
        <w:t>Signifikante indirekte Pfade: Reduktion von Emotionsregulationsschwierigkeiten war mit gleichzeitigen Symptomrückgängen verbunden (standardisierte indirekte Effekte |ab| ≥ 0,10 für Bulimie und Binge-Eating); keine signifikanten Unterschiede zwischen Störungsgruppen.</w:t>
      </w:r>
    </w:p>
    <w:p>
      <w:r>
        <w:rPr>
          <w:b/>
          <w:sz w:val="19"/>
        </w:rPr>
        <w:t xml:space="preserve">Übertragbarkeit: </w:t>
      </w:r>
      <w:r>
        <w:rPr>
          <w:sz w:val="19"/>
        </w:rPr>
        <w:t>Deutschland, web-basierte Selbsthilfe unabhängig vom Gesundheitssystem</w:t>
      </w:r>
    </w:p>
    <w:p>
      <w:r>
        <w:rPr>
          <w:color w:val="5A7D3A"/>
          <w:sz w:val="18"/>
        </w:rPr>
        <w:t>https://pubmed.ncbi.nlm.nih.gov/42679628/</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Ethische Standards für Forschung mit Erzählungen von Erfahrungen psychischer Erkrankung</w:t>
      </w:r>
    </w:p>
    <w:p>
      <w:r>
        <w:rPr>
          <w:i/>
          <w:color w:val="666666"/>
          <w:sz w:val="18"/>
        </w:rPr>
        <w:t>Sarwar KM et al.  ·  BMJ Open  ·  17.09.2026  ·  PMID 42754282</w:t>
      </w:r>
    </w:p>
    <w:p>
      <w:r>
        <w:t>Viewpoint aus 4 Fallstudien eines interdisziplinären Konsortiums (ICONIC) über Praktiken bei der Erhebung und Analyse von Erzählungen über Erfahrungen psychischer Erkrankungen, u.a. schizophrenia experiences in Äthiopien, Recovery Narratives, Poetic Transcription, Online-Peer-Support.</w:t>
      </w:r>
    </w:p>
    <w:p>
      <w:r>
        <w:rPr>
          <w:b/>
        </w:rPr>
        <w:t xml:space="preserve">Ergebnis: </w:t>
      </w:r>
      <w:r>
        <w:t>Identifizierte Querschnitts-Herausforderungen: Prozesse der informierten Zustimmung, ethische und rechtliche Grenzen zwischen Narrativ-Autonomie und Schutz vor Stigmatisierung, Datenschutz bei sensiblen Informationen über Dritte, Umgang mit psychischen Belastungen von Forschern. Empfehlung: Interdisziplinäre Checkliste für Forschungsdesign entwickelt.</w:t>
      </w:r>
    </w:p>
    <w:p>
      <w:r>
        <w:rPr>
          <w:b/>
          <w:sz w:val="19"/>
        </w:rPr>
        <w:t xml:space="preserve">Übertragbarkeit: </w:t>
      </w:r>
      <w:r>
        <w:rPr>
          <w:sz w:val="19"/>
        </w:rPr>
        <w:t>Internationale Konsensfindung über Best Practice mit Relevanz für deutsche Psychose-Forschung und Partizipation von Betroffenen.</w:t>
      </w:r>
    </w:p>
    <w:p>
      <w:r>
        <w:rPr>
          <w:color w:val="5A7D3A"/>
          <w:sz w:val="18"/>
        </w:rPr>
        <w:t>https://pubmed.ncbi.nlm.nih.gov/42754282/</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2026-09-25T06:00:00Z</dcterms:created>
  <dcterms:modified xsi:type="dcterms:W3CDTF">2026-09-25T06:00:00Z</dcterms:modified>
  <cp:category/>
</cp:coreProperties>
</file>