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19.09.2026  |  6 Studien  |  mental.m-vf.de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Gemeindenahe Rehabilitation bei Schizophrenie senkt Kosten und verbessert klinische Ergebnisse</w:t>
      </w:r>
    </w:p>
    <w:p>
      <w:r>
        <w:rPr>
          <w:i/>
          <w:color w:val="666666"/>
          <w:sz w:val="18"/>
        </w:rPr>
        <w:t>Ding R et al.  ·  JAMA Health Forum  ·  04.09.2026  ·  PMID 42758489</w:t>
      </w:r>
    </w:p>
    <w:p>
      <w:r>
        <w:t>Sekundäranalyse einer Cluster-RCT aus China, die eine 12-Monate-Kohorte von 334 Patienten mit stabiler Schizophrenie verglich, die entweder eine gruppenbasierte Community-based Rehabilitation (CBR) plus Facility-Based Care (FBC) oder nur FBC erhielten.</w:t>
      </w:r>
    </w:p>
    <w:p>
      <w:r>
        <w:rPr>
          <w:b/>
        </w:rPr>
        <w:t xml:space="preserve">Ergebnis: </w:t>
      </w:r>
      <w:r>
        <w:t>CBR führte zu Einsparungen von 24.636–27.847 USD pro gewonnenes QALY und 20,70–46,90 USD pro Einheit Verbesserung in Symptomstärke, Sozialfunktionierung und Belastung. Die Wahrscheinlichkeit der Kostenwirksamkeit betrug 91,0–98,7 % bei akzeptierten Schwellenwerten.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mit vergleichbarem mittlerem Einkommen, aber Modell übertragbar auf deutsche Kosten-Nutzen-Fragen.</w:t>
      </w:r>
    </w:p>
    <w:p>
      <w:r>
        <w:rPr>
          <w:color w:val="5A7D3A"/>
          <w:sz w:val="18"/>
        </w:rPr>
        <w:t>https://pubmed.ncbi.nlm.nih.gov/42758489/</w:t>
      </w:r>
    </w:p>
    <w:p>
      <w:pPr>
        <w:pStyle w:val="Heading2"/>
      </w:pPr>
      <w:r>
        <w:t>Psychotherapie mit Good Psychiatric Management reduziert Selbstverachtung bei Borderline-Persönlichkeitsstörung</w:t>
      </w:r>
    </w:p>
    <w:p>
      <w:r>
        <w:rPr>
          <w:i/>
          <w:color w:val="666666"/>
          <w:sz w:val="18"/>
        </w:rPr>
        <w:t>Kramer U et al.  ·  Clin Psychol Psychother  ·  Sept. 2026  ·  PMID 42757906</w:t>
      </w:r>
    </w:p>
    <w:p>
      <w:r>
        <w:t>Sekundäranalyse einer RCT mit 79 Patienten (27 mit BPD unter GPM, 23 BPD unter TAU, 29 gesunde Kontrollen), die 4 Monate Therapie erhielten und mittels Zwei-Stuhl-Dialogas außerhalb der Therapie zu Selbstkritik untersucht wurden.</w:t>
      </w:r>
    </w:p>
    <w:p>
      <w:r>
        <w:rPr>
          <w:b/>
        </w:rPr>
        <w:t xml:space="preserve">Ergebnis: </w:t>
      </w:r>
      <w:r>
        <w:t>Bei BPD-Patienten unter GPM sank die Intensität der beobachteten Selbstverachtung mit großem Effekt (ähnlich gesunden Kontrollen). Bei TAU mittlerer Effekt. Anteil BPD-Patienten unter GPM mit Zugang zu Selbstmitgefühl und durchsetzungsfähigem Ärger stieg an, nicht bei TAU oder Kontrollen.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Schweiz/Lausanne-Studie, DACH-System vergleichbar, GPM-Fokus auf Persönlichkeitsstörungen relevant für deutsche Kliniklandschaft.</w:t>
      </w:r>
    </w:p>
    <w:p>
      <w:r>
        <w:rPr>
          <w:color w:val="5A7D3A"/>
          <w:sz w:val="18"/>
        </w:rPr>
        <w:t>https://pubmed.ncbi.nlm.nih.gov/42757906/</w:t>
      </w:r>
    </w:p>
    <w:p>
      <w:pPr>
        <w:pStyle w:val="Heading2"/>
      </w:pPr>
      <w:r>
        <w:t>Frühe Interventionen in Psychiatrie senken Hospitalisierung und verbessern Teilhabe</w:t>
      </w:r>
    </w:p>
    <w:p>
      <w:r>
        <w:rPr>
          <w:i/>
          <w:color w:val="666666"/>
          <w:sz w:val="18"/>
        </w:rPr>
        <w:t>Adu RA et al.  ·  Front Public Health  ·  03.09.2026  ·  PMID 42755720</w:t>
      </w:r>
    </w:p>
    <w:p>
      <w:r>
        <w:t>Rapid Review von 11 systematischen Übersichten zu Early-Intervention-Modellen über verschiedene Diagnosen, Altersgruppen und Settings zwischen 2015 und 2025.</w:t>
      </w:r>
    </w:p>
    <w:p>
      <w:r>
        <w:rPr>
          <w:b/>
        </w:rPr>
        <w:t xml:space="preserve">Ergebnis: </w:t>
      </w:r>
      <w:r>
        <w:t>Early-Intervention-Psychosis-Services reduzierten Hospitalisierung, Behandlungsabbruch und Symptomatik nachweislich, verbessertn Sozial- und Berufsfunktionierung. Kosten-Effektivität gegenüber Standardversorgung bestätigt. Haupthindernisse: Stigma, fragmentierte Versorgungspfade, unzureichende Mental-Health-Literacy. Facilitatoren: Familieneinbindung, Versorgungskontinuität, flexible Leistungserbringung.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überwiegend aus Hocheinkommensländern, direkt anwendbar auf deutsche Versorgungsstruktur.</w:t>
      </w:r>
    </w:p>
    <w:p>
      <w:r>
        <w:rPr>
          <w:color w:val="5A7D3A"/>
          <w:sz w:val="18"/>
        </w:rPr>
        <w:t>https://pubmed.ncbi.nlm.nih.gov/42755720/</w:t>
      </w:r>
    </w:p>
    <w:p>
      <w:pPr>
        <w:pStyle w:val="Heading2"/>
      </w:pPr>
      <w:r>
        <w:t>Keine Mental-Health-Care erhöht Risiko von riskantem Alkoholkonsum bei Krebsüberlebenden</w:t>
      </w:r>
    </w:p>
    <w:p>
      <w:r>
        <w:rPr>
          <w:i/>
          <w:color w:val="666666"/>
          <w:sz w:val="18"/>
        </w:rPr>
        <w:t>Baldo A et al.  ·  Support Care Cancer  ·  17.09.2026  ·  PMID 42754771</w:t>
      </w:r>
    </w:p>
    <w:p>
      <w:r>
        <w:t>Kohortenstudie aus All of Us Research Program mit 18.879 Krebsüberlebenden, von denen 5.437 (30,2 %) mindestens eine psychische Diagnose hatten; Erfassung von Zugang zu Mental Health Care und Trinkmuster (moderate Trink- und Binge-Drinking).</w:t>
      </w:r>
    </w:p>
    <w:p>
      <w:r>
        <w:rPr>
          <w:b/>
        </w:rPr>
        <w:t xml:space="preserve">Ergebnis: </w:t>
      </w:r>
      <w:r>
        <w:t>13,6 % überschritten moderates Trinken, 24,4 % betrieben Binge-Drinking. 5,4 % berichteten über unerfülltem Bedarf an Mental-Health-Beratung in den letzten 12 Monaten. Unerfüllter Bedarf war unabhängig assoziiert mit erhöhtem moderatem Trinken (OR 1,48, 95%-KI 1,16–1,89) und Binge-Drinking (OR 1,36, 95%-KI 1,10–1,66), auch ohne vorbestehende psychische 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Versorgungslücke psychische Gesundheit → Sucht-Verhalten auch in Deutschland relevant.</w:t>
      </w:r>
    </w:p>
    <w:p>
      <w:r>
        <w:rPr>
          <w:color w:val="5A7D3A"/>
          <w:sz w:val="18"/>
        </w:rPr>
        <w:t>https://pubmed.ncbi.nlm.nih.gov/42754771/</w:t>
      </w:r>
    </w:p>
    <w:p>
      <w:pPr>
        <w:pStyle w:val="Heading2"/>
      </w:pPr>
      <w:r>
        <w:t>Ethische Standards für Forschung mit Erzählungen von Erfahrungen psychischer Erkrankung</w:t>
      </w:r>
    </w:p>
    <w:p>
      <w:r>
        <w:rPr>
          <w:i/>
          <w:color w:val="666666"/>
          <w:sz w:val="18"/>
        </w:rPr>
        <w:t>Sarwar KM et al.  ·  BMJ Open  ·  17.09.2026  ·  PMID 42754282</w:t>
      </w:r>
    </w:p>
    <w:p>
      <w:r>
        <w:t>Viewpoint aus 4 Fallstudien eines interdisziplinären Konsortiums (ICONIC) über Praktiken bei der Erhebung und Analyse von Erzählungen über Erfahrungen psychischer Erkrankungen, u.a. schizophrenia experiences in Äthiopien, Recovery Narratives, Poetic Transcription, Online-Peer-Support.</w:t>
      </w:r>
    </w:p>
    <w:p>
      <w:r>
        <w:rPr>
          <w:b/>
        </w:rPr>
        <w:t xml:space="preserve">Ergebnis: </w:t>
      </w:r>
      <w:r>
        <w:t>Identifizierte Querschnitts-Herausforderungen: Prozesse der informierten Zustimmung, ethische und rechtliche Grenzen zwischen Narrativ-Autonomie und Schutz vor Stigmatisierung, Datenschutz bei sensiblen Informationen über Dritte, Umgang mit psychischen Belastungen von Forschern. Empfehlung: Interdisziplinäre Checkliste für Forschungsdesign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Konsensfindung über Best Practice mit Relevanz für deutsche Psychose-Forschung und Partizipation von Betroffenen.</w:t>
      </w:r>
    </w:p>
    <w:p>
      <w:r>
        <w:rPr>
          <w:color w:val="5A7D3A"/>
          <w:sz w:val="18"/>
        </w:rPr>
        <w:t>https://pubmed.ncbi.nlm.nih.gov/42754282/</w:t>
      </w:r>
    </w:p>
    <w:p>
      <w:pPr>
        <w:pStyle w:val="Heading2"/>
      </w:pPr>
      <w:r>
        <w:t>Langzeitinjektionen und Clozapin in Frühintervention für Psychose stark unterutzt</w:t>
      </w:r>
    </w:p>
    <w:p>
      <w:r>
        <w:rPr>
          <w:i/>
          <w:color w:val="666666"/>
          <w:sz w:val="18"/>
        </w:rPr>
        <w:t>Kane JM et al.  ·  J Clin Psychiatry  ·  14.09.2026  ·  PMID 42752588</w:t>
      </w:r>
    </w:p>
    <w:p>
      <w:r>
        <w:t>Datenauswertung der Early Psychosis Intervention Network (EPINET) mit 16.847 Datensätzen von 5.324 Patienten aus 113 Kliniken in 8 Zentren (Sept. 2019–Juni 2024) zur Verordnungsrate von Langzeitinjektionen (LAI) und Clozapin.</w:t>
      </w:r>
    </w:p>
    <w:p>
      <w:r>
        <w:rPr>
          <w:b/>
        </w:rPr>
        <w:t xml:space="preserve">Ergebnis: </w:t>
      </w:r>
      <w:r>
        <w:t>LAI-Nutzung variierte zwischen Zentren von 5,0 % bis 37,5 %, Clozapin 1,7 % bis 9,0 %; bei Kliniken von 2,4 % bis 60 % (LAI) und 0,5 % bis 33 % (Clozapin). Standardabweichungen zeigen erhebliche Variabilität auch nach Anpassung für Geschlecht, Ethnizität, Rasse. Implementierung evidence-basierter Praktiken bleibt untergenutzt.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USA-CSC-Daten, aber Frage der Unterversorgung mit evidenzbasierten Schizophrenie-Medikamenten relevant für deutsche Versorgungslücken.</w:t>
      </w:r>
    </w:p>
    <w:p>
      <w:r>
        <w:rPr>
          <w:color w:val="5A7D3A"/>
          <w:sz w:val="18"/>
        </w:rPr>
        <w:t>https://pubmed.ncbi.nlm.nih.gov/42752588/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