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20.09.2026  |  6 Studien  |  mental.m-vf.de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Zwangsbehandlung ohne Fortschritt: Zehn Jahre nach Chinas Schutzgesetz noch 44 % ohne rechtliche Grundlage</w:t>
      </w:r>
    </w:p>
    <w:p>
      <w:r>
        <w:rPr>
          <w:i/>
          <w:color w:val="666666"/>
          <w:sz w:val="18"/>
        </w:rPr>
        <w:t>Luo S et al.  ·  Zhong Nan Da Xue Xue Bao Yi Xue Ban  ·  28.07.2026  ·  PMID 42763303</w:t>
      </w:r>
    </w:p>
    <w:p>
      <w:r>
        <w:t>Wiederholte Querschnittsstudie zur Änderung der nicht-freiwilligen Aufnahmeraten und der Einhaltung gesetzlicher Kriterien zehn Jahre nach Inkrafttreten des chinesischen Mentale-Gesundheit-Gesetzes 2013, das Zwangsbehandlung einschränken sollte.</w:t>
      </w:r>
    </w:p>
    <w:p>
      <w:r>
        <w:rPr>
          <w:b/>
        </w:rPr>
        <w:t xml:space="preserve">Ergebnis: </w:t>
      </w:r>
      <w:r>
        <w:t>Die nicht-freiwillige Aufnahmerate sank nicht (34,7 % in 2012 vs. 30,1 % in 2023, p=0,220). Unter Patienten in verschlossenen Stationen, die gegen ihren Willen aufgenommen wurden, erfüllten 44,4 % 2023 nicht die gesetzlichen Kriterien (vs. 32,9 % 2012, nach Anpassung p=0,032). Eine substanzielle Kluft zwischen Rechtsnorm und klinischer Praxis bleibt.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zeigt Grenzen der Legislatur ohne Implementierungskontrolle</w:t>
      </w:r>
    </w:p>
    <w:p>
      <w:r>
        <w:rPr>
          <w:color w:val="5A7D3A"/>
          <w:sz w:val="18"/>
        </w:rPr>
        <w:t>https://pubmed.ncbi.nlm.nih.gov/42763303/</w:t>
      </w:r>
    </w:p>
    <w:p>
      <w:pPr>
        <w:pStyle w:val="Heading2"/>
      </w:pPr>
      <w:r>
        <w:t>Sexuelle Sicherheit in Psychiatrie: Schulung allein reicht nicht aus</w:t>
      </w:r>
    </w:p>
    <w:p>
      <w:r>
        <w:rPr>
          <w:i/>
          <w:color w:val="666666"/>
          <w:sz w:val="18"/>
        </w:rPr>
        <w:t>Dixon K et al.  ·  Int J Ment Health Nurs  ·  Okt. 2026  ·  PMID 42760860</w:t>
      </w:r>
    </w:p>
    <w:p>
      <w:r>
        <w:t>Qualitative Studie zu Barrieren und Ermöglichern der Umsetzung von Maßnahmen zur sexuellen Sicherheit in australischen stationären Einheiten nach Schulungsprogramm mittels Implementierungsforschung.</w:t>
      </w:r>
    </w:p>
    <w:p>
      <w:r>
        <w:rPr>
          <w:b/>
        </w:rPr>
        <w:t xml:space="preserve">Ergebnis: </w:t>
      </w:r>
      <w:r>
        <w:t>Schulung verbesserte zwar die Bewusstseinslage, reichte aber nicht aus für routinemäßige Gespräche. Erforderlich: mehrstufiger Ansatz mit Rollen-Klarheit, Personalausstattung, Leitungsunterstützung, physische Umgebung und Organisationsverpflichtung.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- ähnliche Governance und Sicherheitsstandards wie deutschsprachige Länder</w:t>
      </w:r>
    </w:p>
    <w:p>
      <w:r>
        <w:rPr>
          <w:color w:val="5A7D3A"/>
          <w:sz w:val="18"/>
        </w:rPr>
        <w:t>https://pubmed.ncbi.nlm.nih.gov/42760860/</w:t>
      </w:r>
    </w:p>
    <w:p>
      <w:pPr>
        <w:pStyle w:val="Heading2"/>
      </w:pPr>
      <w:r>
        <w:t>Schwangerschaftsverlust im Personal: Kumulative Belastung überwältigt Resilienz</w:t>
      </w:r>
    </w:p>
    <w:p>
      <w:r>
        <w:rPr>
          <w:i/>
          <w:color w:val="666666"/>
          <w:sz w:val="18"/>
        </w:rPr>
        <w:t>Johnson D et al.  ·  PLoS One  ·  17.09.2026  ·  PMID 42752451</w:t>
      </w:r>
    </w:p>
    <w:p>
      <w:r>
        <w:t>Qualitative Studie mit 20 Mitarbeitern eines britischen NHS-Vertrauens über psychische Unterstützungsbedarfe nach wiederholter beruflicher Exposition gegenüber Fehlgeburten, Totgeburten und neonatalem Tod.</w:t>
      </w:r>
    </w:p>
    <w:p>
      <w:r>
        <w:rPr>
          <w:b/>
        </w:rPr>
        <w:t xml:space="preserve">Ergebnis: </w:t>
      </w:r>
      <w:r>
        <w:t>Sechs Themen: Unvorbereiteheit, Tipping Point bei Resilienz, unzureichende organisationale Unterstützung trotz Wertschätzung, Abhängigkeit von informellen Netzwerken. Junior-, Fach- und Servicepersonal am stärksten betroffen. Bedarf: proaktiver multidisziplinärer Ansatz mit sichtbarer, bedarfsgerechter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 - vergleichbare Arbeitsschutzstandards und Organisationsstruktur</w:t>
      </w:r>
    </w:p>
    <w:p>
      <w:r>
        <w:rPr>
          <w:color w:val="5A7D3A"/>
          <w:sz w:val="18"/>
        </w:rPr>
        <w:t>https://pubmed.ncbi.nlm.nih.gov/42752451/</w:t>
      </w:r>
    </w:p>
    <w:p>
      <w:pPr>
        <w:pStyle w:val="Heading2"/>
      </w:pPr>
      <w:r>
        <w:t>Geschlechtersensible Psychiatrie: Wirklichkeit oder Anspruch</w:t>
      </w:r>
    </w:p>
    <w:p>
      <w:r>
        <w:rPr>
          <w:i/>
          <w:color w:val="666666"/>
          <w:sz w:val="18"/>
        </w:rPr>
        <w:t>Achab S  ·  Rev Med Suisse  ·  16.09.2026  ·  PMID 42750578</w:t>
      </w:r>
    </w:p>
    <w:p>
      <w:r>
        <w:t>Narrartives Review zu Integration von Geschlechteraspekten in psychiatrische Forschung und Praxis; dargestellt am Projekt Gender*CoLaus in Lausanne.</w:t>
      </w:r>
    </w:p>
    <w:p>
      <w:r>
        <w:rPr>
          <w:b/>
        </w:rPr>
        <w:t xml:space="preserve">Ergebnis: </w:t>
      </w:r>
      <w:r>
        <w:t>Kerneinsicht: Geschlechtsunterschiede in psychischer Gesundheit sind nicht nur biologisch, sondern durch Geschlechterrollen, Normen, soziale Beziehungen bestimmt, die Lebensbedingungen und Zugang zu Hilfe formen. Gender*CoLaus entwickelt methodische Ansätze zur Erfassung dieser Dimensionen für präzisere und gerechtere Forschung und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(DACH-Region) - direkt auf deutsches System übertragbar</w:t>
      </w:r>
    </w:p>
    <w:p>
      <w:r>
        <w:rPr>
          <w:color w:val="5A7D3A"/>
          <w:sz w:val="18"/>
        </w:rPr>
        <w:t>https://pubmed.ncbi.nlm.nih.gov/42750578/</w:t>
      </w:r>
    </w:p>
    <w:p>
      <w:pPr>
        <w:pStyle w:val="Heading2"/>
      </w:pPr>
      <w:r>
        <w:t>Schwarze Migranten in Kanada und UK: Versorgungslücken und Stigma</w:t>
      </w:r>
    </w:p>
    <w:p>
      <w:r>
        <w:rPr>
          <w:i/>
          <w:color w:val="666666"/>
          <w:sz w:val="18"/>
        </w:rPr>
        <w:t>Sehabi WY et al.  ·  Sante Publique  ·  2026  ·  PMID 42675001</w:t>
      </w:r>
    </w:p>
    <w:p>
      <w:r>
        <w:t>Scoping Review von 19 Studien 2021–2024 zur Versorgung und Gesundheitsergebnisse schwarzer afrikanischer Migranten nach COVID-19 unter intersektionaler Perspektive in Kanada und UK.</w:t>
      </w:r>
    </w:p>
    <w:p>
      <w:r>
        <w:rPr>
          <w:b/>
        </w:rPr>
        <w:t xml:space="preserve">Ergebnis: </w:t>
      </w:r>
      <w:r>
        <w:t>Hohe Raten Depression, Angst, Psychose bei schwarzen Migranten verknüpft mit Strukturrassismus, kulturellem Stigma, schlechten Bedingungen. Hauptbarrieren: Misstrauen gegenüber eurozentrischen Diensten, Mangel an kulturell kompetenten Fachleuten, finanzielle Zwänge, Sprachbarrieren. Förderlich: starke Gemeinschaftsbande, religiöse und kulturell sensible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UK - verdeutlicht Versorgungsgerechtigkeit als Struktur-problem in westlichen Systemen</w:t>
      </w:r>
    </w:p>
    <w:p>
      <w:r>
        <w:rPr>
          <w:color w:val="5A7D3A"/>
          <w:sz w:val="18"/>
        </w:rPr>
        <w:t>https://pubmed.ncbi.nlm.nih.gov/42675001/</w:t>
      </w:r>
    </w:p>
    <w:p>
      <w:pPr>
        <w:pStyle w:val="Heading2"/>
      </w:pPr>
      <w:r>
        <w:t>Geschlechterstereotypen erhöhen Distress für Nonkonformisten</w:t>
      </w:r>
    </w:p>
    <w:p>
      <w:r>
        <w:rPr>
          <w:i/>
          <w:color w:val="666666"/>
          <w:sz w:val="18"/>
        </w:rPr>
        <w:t>Bertoli P et al.  ·  Econ Hum Biol  ·  11.08.2026  ·  PMID 42600528</w:t>
      </w:r>
    </w:p>
    <w:p>
      <w:r>
        <w:t>Experimentelle italienische Studie mit Priming von Geschlechterstereotypen in repräsentativer Bevölkerungsstichprobe zur Auswirkung auf selbstberichtete psychische Belastung.</w:t>
      </w:r>
    </w:p>
    <w:p>
      <w:r>
        <w:rPr>
          <w:b/>
        </w:rPr>
        <w:t xml:space="preserve">Ergebnis: </w:t>
      </w:r>
      <w:r>
        <w:t>Stereotype Priming war mit schlechterer selbstberichteter psychischer Gesundheit assoziiert, mit vergleichbaren Effekten bei beiden Geschlechtern. K-means-Clusteranalyse zeigte höchste Effekte bei Individuen, die nicht traditionellen Geschlechtserwartungen entsprachen (Nonkonformisten). Erklärt teilweise persistente Disparitäten in Depressionsdiagnosen und Suizidmorbidität.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- Mechanismus der Ungleichheit, universell übertragbar</w:t>
      </w:r>
    </w:p>
    <w:p>
      <w:r>
        <w:rPr>
          <w:color w:val="5A7D3A"/>
          <w:sz w:val="18"/>
        </w:rPr>
        <w:t>https://pubmed.ncbi.nlm.nih.gov/42600528/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