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37360" cy="45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5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51A1"/>
          <w:sz w:val="19"/>
        </w:rPr>
        <w:t>Ein Service des Knowledge-Hubs von Monitor Versorgungsforschung. Täglich automatisiert KI-kuratiert aus PubMed und auf Deutsch übersetzt.</w:t>
      </w:r>
    </w:p>
    <w:p>
      <w:pPr>
        <w:pStyle w:val="Title"/>
      </w:pPr>
      <w:r>
        <w:t>Neueste Studien - Psychische Gesundheit</w:t>
      </w:r>
    </w:p>
    <w:p>
      <w:r>
        <w:rPr>
          <w:i/>
          <w:color w:val="666666"/>
          <w:sz w:val="18"/>
        </w:rPr>
        <w:t>Stand: 31.10.2026  |  6 Studien  |  mental.m-vf.de</w:t>
      </w:r>
    </w:p>
    <w:p>
      <w:pPr>
        <w:pStyle w:val="Heading1"/>
      </w:pPr>
      <w:r>
        <w:t>Aufgenommen am 31.10.2026</w:t>
      </w:r>
    </w:p>
    <w:p>
      <w:pPr>
        <w:pStyle w:val="Heading2"/>
      </w:pPr>
      <w:r>
        <w:t>TMS-Weiterleitung: Training und Erfahrung erhöhen Bereitschaft von Psychiatern</w:t>
      </w:r>
    </w:p>
    <w:p>
      <w:r>
        <w:rPr>
          <w:i/>
          <w:color w:val="666666"/>
          <w:sz w:val="18"/>
        </w:rPr>
        <w:t>Rahangdale A et al.  ·  Brain Behav  ·  Nov. 2026  ·  PMID 42961169</w:t>
      </w:r>
    </w:p>
    <w:p>
      <w:r>
        <w:t>US-amerikanische Querschnittsumfrage von 94 psychiatrischen Fachleuten (Fachärzte, Assistenten, Nurse Practitioner) in Florida: untersucht, wie Ausbildung und TMS-Erfahrung die Überweisungsbereitschaft beeinflussen.</w:t>
      </w:r>
    </w:p>
    <w:p>
      <w:r>
        <w:rPr>
          <w:b/>
        </w:rPr>
        <w:t xml:space="preserve">Ergebnis: </w:t>
      </w:r>
      <w:r>
        <w:t>94 Clinicians: &gt;90% befürworteten TMS konzeptuell, aber operative Readiness war variabel. Vorherige TMS-Ausbildung und Prior-TMS-Empfehlungserfahrung assoziiert mit höherer Überweisungssicherheit (Chi-Quadrat/Fisher-Tests signifikant, p&lt;0,05). Psychiatrie-Assistenten kannten Überweisungswege schlechter als Fachärzte. Versicherungsdeckung und Kosten häufig genannte Barrieren; mangelnde Ausbildung als modifizierbares Hindernis.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USA mit anderer Versicherungsfinanzierung; aber Befund zur Ausbildungslücke bei Fachverfahren auf deutsche Weiterbildung übertragbar.</w:t>
      </w:r>
    </w:p>
    <w:p>
      <w:r>
        <w:rPr>
          <w:color w:val="5A7D3A"/>
          <w:sz w:val="18"/>
        </w:rPr>
        <w:t>https://pubmed.ncbi.nlm.nih.gov/42961169/</w:t>
      </w:r>
    </w:p>
    <w:p>
      <w:pPr>
        <w:pStyle w:val="Heading2"/>
      </w:pPr>
      <w:r>
        <w:t>Kognitive Langzeitverläufe bei Schizophrenie: Keine Verschlechterung unter Kontrolle der Ausfallverzerrung</w:t>
      </w:r>
    </w:p>
    <w:p>
      <w:r>
        <w:rPr>
          <w:i/>
          <w:color w:val="666666"/>
          <w:sz w:val="18"/>
        </w:rPr>
        <w:t>Lee M et al.  ·  Schizophr Bull  ·  27.10.2026  ·  PMID 42960989</w:t>
      </w:r>
    </w:p>
    <w:p>
      <w:r>
        <w:t>Schwedische Längsschnittstudie mit 108 Schizophrenie-Patienten und 85 Kontrollen über 13 Jahre (Messungen bei Baseline, 5 Jahren und 13 Jahren): prüft mit inverse-probability-weighting, ob kognitive Defizite progressiv sind.</w:t>
      </w:r>
    </w:p>
    <w:p>
      <w:r>
        <w:rPr>
          <w:b/>
        </w:rPr>
        <w:t xml:space="preserve">Ergebnis: </w:t>
      </w:r>
      <w:r>
        <w:t>Nach Gewichtung zur Kontrolle von Ausfallverzerrung: Patienten zeigten durchgehend niedrigere kognitive Leistung (composite β = −0,91 SD [95% CI −1,42, −0,39]), aber Trajectories unterschieden sich nicht signifikant von Kontrollen. Älteres Alter und längere Krankheitsdauer sagten schlechtere Kognition voraus. Patienten mit Ausfall hatten initial schlechtere Werte.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Schweden, europäisches Versicherungssystem; zeigt methodisches Muster für deutsche Langzeitstudien mit hoher Dropout-Rate.</w:t>
      </w:r>
    </w:p>
    <w:p>
      <w:r>
        <w:rPr>
          <w:color w:val="5A7D3A"/>
          <w:sz w:val="18"/>
        </w:rPr>
        <w:t>https://pubmed.ncbi.nlm.nih.gov/42960989/</w:t>
      </w:r>
    </w:p>
    <w:p>
      <w:pPr>
        <w:pStyle w:val="Heading2"/>
      </w:pPr>
      <w:r>
        <w:t>Notfallversorgung für Kinder mit Behinderungen: komplexe Erkrankungen treiben Inanspruchnahme</w:t>
      </w:r>
    </w:p>
    <w:p>
      <w:r>
        <w:rPr>
          <w:i/>
          <w:color w:val="666666"/>
          <w:sz w:val="18"/>
        </w:rPr>
        <w:t>Lee IO et al.  ·  BMC Med  ·  28.10.2026  ·  PMID 42958241</w:t>
      </w:r>
    </w:p>
    <w:p>
      <w:r>
        <w:t>Retrospektive Kohortenstudie mit Routinedaten des englischen NHS: 215 Kinder mit genetisch bedingten Entwicklungsstörungen (Alter 4-15,5 Jahre), analysiert welche Faktoren Notaufnahmebesuche vorhersagen.</w:t>
      </w:r>
    </w:p>
    <w:p>
      <w:r>
        <w:rPr>
          <w:b/>
        </w:rPr>
        <w:t xml:space="preserve">Ergebnis: </w:t>
      </w:r>
      <w:r>
        <w:t>Durchschnittliche Notaufnahmequote 0,73 Besuche pro Jahr (deutlich über Bevölkerungsdurchschnitt). Jüngeres Alter, schlechtere adaptive Funktionsfähigkeit, externalisierende Verhaltensprobleme und komplexe Mehrorganbeteiligung (besonders Anfallsleiden und Atemprobleme) waren stark assoziiert; Geschlecht, Ethnizität und sozioökonomische Deprivation nicht signifikant. Regionale Unterschiede (höhere Nutzung in London und Nordosten).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Englische NHS-Routinedaten, übertragbar auf deutsche Krankenhaus-Dokumentation; zeigt Versorgungslücke bei komplexbehinderten Kindern.</w:t>
      </w:r>
    </w:p>
    <w:p>
      <w:r>
        <w:rPr>
          <w:color w:val="5A7D3A"/>
          <w:sz w:val="18"/>
        </w:rPr>
        <w:t>https://pubmed.ncbi.nlm.nih.gov/42958241/</w:t>
      </w:r>
    </w:p>
    <w:p>
      <w:pPr>
        <w:pStyle w:val="Heading2"/>
      </w:pPr>
      <w:r>
        <w:t>Psychopharmaka-Adhärenz: Symptommuster statt Einzelmerkmale entscheidend</w:t>
      </w:r>
    </w:p>
    <w:p>
      <w:r>
        <w:rPr>
          <w:i/>
          <w:color w:val="666666"/>
          <w:sz w:val="18"/>
        </w:rPr>
        <w:t>Zhang L et al.  ·  BMC Psychiatry  ·  03.08.2026  ·  PMID 42958153</w:t>
      </w:r>
    </w:p>
    <w:p>
      <w:r>
        <w:t>Sekundäranalyse von 304 italienischen Patienten mit Schizophrenie-Spektrum-Störungen unter depotantipsychotika (LAI): Qualitative Vergleichsanalyse identifizierte Symptomkonfigurationen, die über Medikamenteneinstellung zur Adhärenz führen.</w:t>
      </w:r>
    </w:p>
    <w:p>
      <w:r>
        <w:rPr>
          <w:b/>
        </w:rPr>
        <w:t xml:space="preserve">Ergebnis: </w:t>
      </w:r>
      <w:r>
        <w:t>Sechs Symptomkonfigurationen identifiziert: drei führten zu positiver Medikamenteneinstellung (46% Lösungsabdeckung, 82% Konsistenz), drei zu negativer (39,5% Abdeckung, 79,4% Konsistenz). Abwesenheit positiver Symptome und niedriger Widerstand waren Kernbedingungen für positive Einstellung. Partielle Mediation der Effekte durch Medikamenteneinstellung nachgewiesen.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Italienische Klinikdaten, ähnliche Depotbehandlungspraxis in Deutschland; zeigt individuelle Pfade zu besserer Adhärenz.</w:t>
      </w:r>
    </w:p>
    <w:p>
      <w:r>
        <w:rPr>
          <w:color w:val="5A7D3A"/>
          <w:sz w:val="18"/>
        </w:rPr>
        <w:t>https://pubmed.ncbi.nlm.nih.gov/42958153/</w:t>
      </w:r>
    </w:p>
    <w:p>
      <w:pPr>
        <w:pStyle w:val="Heading2"/>
      </w:pPr>
      <w:r>
        <w:t>EKT bei bipolarer Depression: Vorhersagemodell für Therapieerfolg</w:t>
      </w:r>
    </w:p>
    <w:p>
      <w:r>
        <w:rPr>
          <w:i/>
          <w:color w:val="666666"/>
          <w:sz w:val="18"/>
        </w:rPr>
        <w:t>Wang Y et al.  ·  BMC Psychiatry  ·  01.08.2026  ·  PMID 42958126</w:t>
      </w:r>
    </w:p>
    <w:p>
      <w:r>
        <w:t>Retrospektive Kohortenstudie mit 318 chinesischen Patienten mit bipolarer depressiver Episode, die modifizierte Elektrokrampftherapie (MECT) erhielten: entwickelt Nomogramm zur Vorhersage des Therapieansprechens.</w:t>
      </w:r>
    </w:p>
    <w:p>
      <w:r>
        <w:rPr>
          <w:b/>
        </w:rPr>
        <w:t xml:space="preserve">Ergebnis: </w:t>
      </w:r>
      <w:r>
        <w:t>Von 222 Patienten der Trainingsgruppe sprachen 175 (78,8%) an. Unabhängige Schutzfaktoren: höhere Schulbildung, längere P-Wellen-Dauer, höhere SDNN; Risikofaktor: größerer linker Vorhof. Nomogramm-AUC 0,872 (Trainingsset) und 0,893 (Validierungsset); gute Kalibrierung und klinischer Nutzen (Decisionkurvenanalyse positiv).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China, aber EKT-Indikationen und Durchführung weltweit ähnlich; Nomogramm-Methode auf deutsche MECT-Kohorten übertragbar.</w:t>
      </w:r>
    </w:p>
    <w:p>
      <w:r>
        <w:rPr>
          <w:color w:val="5A7D3A"/>
          <w:sz w:val="18"/>
        </w:rPr>
        <w:t>https://pubmed.ncbi.nlm.nih.gov/42958126/</w:t>
      </w:r>
    </w:p>
    <w:p>
      <w:pPr>
        <w:pStyle w:val="Heading2"/>
      </w:pPr>
      <w:r>
        <w:t>CBT für Psychose: Online-Schulungsprogramm verbessert Fachkräfte-Kapazität</w:t>
      </w:r>
    </w:p>
    <w:p>
      <w:r>
        <w:rPr>
          <w:i/>
          <w:color w:val="666666"/>
          <w:sz w:val="18"/>
        </w:rPr>
        <w:t>Livet A et al.  ·  Sante Ment Que  ·  2026  ·  PMID 42955237</w:t>
      </w:r>
    </w:p>
    <w:p>
      <w:r>
        <w:t>Deskriptive Beschreibung eines 45-stündigen französischsprachigen Online-Weiterbildungsprogramms für Psychose-Therapie (CBTp) an der Université de Montréal: entwickelt für bestehende und zukünftige Fachkräfte im francophonen Raum.</w:t>
      </w:r>
    </w:p>
    <w:p>
      <w:r>
        <w:rPr>
          <w:b/>
        </w:rPr>
        <w:t xml:space="preserve">Ergebnis: </w:t>
      </w:r>
      <w:r>
        <w:t>Programm besteht aus drei Komponenten: (1) Asynchrone Selbstlernphase zu CBTp-Grundlagen; (2) Gemischtes Format mit Gruppentherapie-Grundlagen und Videokonferenzen; (3) Blended-Learning zu klinischen Komplexitäten mit Rollenspielen und Supervision. Ziel: CBTp-Fähigkeiten unter Nicht-Psychotherapeuten verbreiten und Zugänglichkeit verbessern. Programm operativ und evaluierbar.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Kanada/Québec, ähnlich deutschsprachiger Ausbildungskontext; Modell für Kapazitätssteigerung bei Spezialverfahren in Deutschland relevant.</w:t>
      </w:r>
    </w:p>
    <w:p>
      <w:r>
        <w:rPr>
          <w:color w:val="5A7D3A"/>
          <w:sz w:val="18"/>
        </w:rPr>
        <w:t>https://pubmed.ncbi.nlm.nih.gov/42955237/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Neueste Studien - Psychische Gesundheit</dc:title>
  <dc:subject/>
  <dc:creator>Monitor Versorgungsforschung</dc:creator>
  <cp:keywords/>
  <dc:description>generated by python-docx</dc:description>
  <cp:lastModifiedBy/>
  <cp:revision>1</cp:revision>
  <dcterms:created xsi:type="dcterms:W3CDTF">2026-10-31T06:00:00Z</dcterms:created>
  <dcterms:modified xsi:type="dcterms:W3CDTF">2026-10-31T06:00:00Z</dcterms:modified>
  <cp:category/>
</cp:coreProperties>
</file>