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05.09.2026  |  71 Studien  |  mental.m-vf.de</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 erkrankte Schwarze Immigranten: Versorgungsbarrieren und Chancen nach COVID-19</w:t>
      </w:r>
    </w:p>
    <w:p>
      <w:r>
        <w:rPr>
          <w:i/>
          <w:color w:val="666666"/>
          <w:sz w:val="18"/>
        </w:rPr>
        <w:t>Bilal O et al.  ·  Sante Publique  ·  2026  ·  PMID 42675004</w:t>
      </w:r>
    </w:p>
    <w:p>
      <w:r>
        <w:t>Scoping Review über 19 Studien (2021-2024) zu psychischer Gesundheit schwarzer afrikanischer Immigranten in Kanada und UK; untersucht Zugang zu Versorgung und Determinanten der Behandlungslücke.</w:t>
      </w:r>
    </w:p>
    <w:p>
      <w:r>
        <w:rPr>
          <w:b/>
        </w:rPr>
        <w:t xml:space="preserve">Ergebnis: </w:t>
      </w:r>
      <w:r>
        <w:t>Hohe Raten von Depression, Angststörung und Psychosen bei schwarzen Immigranten; Hauptbarrieren: Misstrauen gegenüber eurozentrischem System, fehlendes kulturell kompetentes Fachpersonal, finanzielle Hürden, Sprachbarrieren; Schutzfaktoren: Gemeinschaftsanbindung, religiöse Unterstützung, kulturell sensible Fachkräfte. Unterstreicht kritischen Bedarf für kulturell angepasste Dienste.</w:t>
      </w:r>
    </w:p>
    <w:p>
      <w:r>
        <w:rPr>
          <w:b/>
          <w:sz w:val="19"/>
        </w:rPr>
        <w:t xml:space="preserve">Übertragbarkeit: </w:t>
      </w:r>
      <w:r>
        <w:rPr>
          <w:sz w:val="19"/>
        </w:rPr>
        <w:t>Kanada/UK, Fokus auf Versorgungsgerechtigkeit auch für Deutschland relevant.</w:t>
      </w:r>
    </w:p>
    <w:p>
      <w:r>
        <w:rPr>
          <w:color w:val="5A7D3A"/>
          <w:sz w:val="18"/>
        </w:rPr>
        <w:t>https://pubmed.ncbi.nlm.nih.gov/42675004/</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2026-09-05T06:00:00Z</dcterms:created>
  <dcterms:modified xsi:type="dcterms:W3CDTF">2026-09-05T06:00:00Z</dcterms:modified>
  <cp:category/>
</cp:coreProperties>
</file>