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16.10.2026  |  6 Studien  |  mental.m-vf.de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Fehlende Zwangsbehandlungs-Daten als Versorgungsproblem erkannt</w:t>
      </w:r>
    </w:p>
    <w:p>
      <w:r>
        <w:rPr>
          <w:i/>
          <w:color w:val="666666"/>
          <w:sz w:val="18"/>
        </w:rPr>
        <w:t>Kirby MLN et al.  ·  J Law Med Ethics  ·  15.10.2026  ·  PMID 42878508</w:t>
      </w:r>
    </w:p>
    <w:p>
      <w:r>
        <w:t>Agnotologische Analyse der US-amerikanischen Datenreporting-Lücken bei Unterbringungen und Zwangsbehandlungen – wie Ignoranz durch konzeptuelle Rahmen, Ausschluss von Betroffenen, Methodiken und Anreize passiv und aktiv erzeugt wird.</w:t>
      </w:r>
    </w:p>
    <w:p>
      <w:r>
        <w:rPr>
          <w:b/>
        </w:rPr>
        <w:t xml:space="preserve">Ergebnis: </w:t>
      </w:r>
      <w:r>
        <w:t>Vier passive Mechanismen identifiziert, durch die Ignoranz entsteht: Konzeptionalisierung (Patient vs. Sicherheitsrisiko), Ausschluss von Betroffenen (epistemische Ungerechtigkeit), Methodiken (Datendashboards nicht neutral) und Anreize; aktive Agnotologie kann schädlich oder heilsam sein; Datenschutz als bewusst konstruierte Ignoranz.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Ansatz übertragbar auf deutsche PsychKG-Diskurse und Transparenzanforderungen zu Unterbringung und Zwang</w:t>
      </w:r>
    </w:p>
    <w:p>
      <w:r>
        <w:rPr>
          <w:color w:val="5A7D3A"/>
          <w:sz w:val="18"/>
        </w:rPr>
        <w:t>https://pubmed.ncbi.nlm.nih.gov/42878508/</w:t>
      </w:r>
    </w:p>
    <w:p>
      <w:pPr>
        <w:pStyle w:val="Heading2"/>
      </w:pPr>
      <w:r>
        <w:t>Partizipative Evaluation von Demenzforschung: Rahmenwerk mit Betroffenen entwickelt</w:t>
      </w:r>
    </w:p>
    <w:p>
      <w:r>
        <w:rPr>
          <w:i/>
          <w:color w:val="666666"/>
          <w:sz w:val="18"/>
        </w:rPr>
        <w:t>Rizai M et al.  ·  Health Expect  ·  Okt. 2026  ·  PMID 42878207</w:t>
      </w:r>
    </w:p>
    <w:p>
      <w:r>
        <w:t>Kanadische Studie zur Entwicklung eines Evaluationsrahmens für Patientenbeteiligung in einem nationalen Demenzforschungsnetzwerk durch Co-Design mit Menschen mit Demenz und pflegenden Angehörigen.</w:t>
      </w:r>
    </w:p>
    <w:p>
      <w:r>
        <w:rPr>
          <w:b/>
        </w:rPr>
        <w:t xml:space="preserve">Ergebnis: </w:t>
      </w:r>
      <w:r>
        <w:t>Das Programm-Logikmodell identifizierte vier Evaluationsfragen mit Indikatoren und Methoden; kunstbasierte Evaluationsdesigns förderten Inklusion und Engagement; Daten werden durch verschiedene Medien und ein digitales Gemeinschaftsmural verbreitet.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übertragbar auf deutschsprachige Länder mit vergleichbarem Versicherungssystem und Partizipationsanspruch</w:t>
      </w:r>
    </w:p>
    <w:p>
      <w:r>
        <w:rPr>
          <w:color w:val="5A7D3A"/>
          <w:sz w:val="18"/>
        </w:rPr>
        <w:t>https://pubmed.ncbi.nlm.nih.gov/42878207/</w:t>
      </w:r>
    </w:p>
    <w:p>
      <w:pPr>
        <w:pStyle w:val="Heading2"/>
      </w:pPr>
      <w:r>
        <w:t>Essanfälle bei US-Schülern mit Social-Media-Nutzung und Suizidrisiko verbunden</w:t>
      </w:r>
    </w:p>
    <w:p>
      <w:r>
        <w:rPr>
          <w:i/>
          <w:color w:val="666666"/>
          <w:sz w:val="18"/>
        </w:rPr>
        <w:t>Saelee R et al.  ·  MMWR Suppl  ·  15.10.2026  ·  PMID 42868189</w:t>
      </w:r>
    </w:p>
    <w:p>
      <w:r>
        <w:t>Nationale US-Prävalenzstudie (YRBS 2025) mit 6.898 High-School-Schülern zur Häufigkeit und Korrelaten von Essanfällen.</w:t>
      </w:r>
    </w:p>
    <w:p>
      <w:r>
        <w:rPr>
          <w:b/>
        </w:rPr>
        <w:t xml:space="preserve">Ergebnis: </w:t>
      </w:r>
      <w:r>
        <w:t>40,5% berichteten Essanfälle an ≥1 Tag im letzten Monat, 17,2% an ≥3 Tagen; höher bei Mädchen (18,6%) als Jungen (15,9%); höher bei Hispanic (20,5%) und Schwarzen (18,7%) als Weißen (14,6%) Schülern; stündliche oder häufigere Social-Media-Nutzung, schlechte psychische Gesundheit, Traurigkeit/Hoffnungslosigkeit und Suizidideen mit höherer Prävalenz assoziiert; Muster bei beiden Geschlechtern.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begrenzte Übertragbarkeit; Disparitäten-Befund relevant für deutsche Diskurse zu Suizidprävention bei Jugendlichen</w:t>
      </w:r>
    </w:p>
    <w:p>
      <w:r>
        <w:rPr>
          <w:color w:val="5A7D3A"/>
          <w:sz w:val="18"/>
        </w:rPr>
        <w:t>https://pubmed.ncbi.nlm.nih.gov/42868189/</w:t>
      </w:r>
    </w:p>
    <w:p>
      <w:pPr>
        <w:pStyle w:val="Heading2"/>
      </w:pPr>
      <w:r>
        <w:t>Digitale Technologien in Autismus-Versorgung: Chancen und Equity-Risiken</w:t>
      </w:r>
    </w:p>
    <w:p>
      <w:r>
        <w:rPr>
          <w:i/>
          <w:color w:val="666666"/>
          <w:sz w:val="18"/>
        </w:rPr>
        <w:t>Han X et al.  ·  Front Public Health  ·  28.09.2026  ·  PMID 42865917</w:t>
      </w:r>
    </w:p>
    <w:p>
      <w:r>
        <w:t>Narrative Übersicht über KI, Wearables, Telehealth, VR und digitale Therapeutika in Autismus-Screening, -Diagnose und -Behandlung mit Fokus auf Chancen und Equity-Lücken.</w:t>
      </w:r>
    </w:p>
    <w:p>
      <w:r>
        <w:rPr>
          <w:b/>
        </w:rPr>
        <w:t xml:space="preserve">Ergebnis: </w:t>
      </w:r>
      <w:r>
        <w:t>Technologien zeigen Potenzial zur Schließung von Versorgungslücken in unterversorgten Settings; wiederkehrende Grenzen: kleine Stichproben, Datensatz-Bias, schwache externe Validität, kurzes Follow-up, ungleiche regulatorische Reife; Erfolg erfordert Equity-Design, Validierung in diversen Settings, größere Studien, Interoperabilität und Einbeziehung autistischer Menschen.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Übersicht; deutsche Anwendung abhängig von Kassenzulassung und Regulierung digitaler Gesundheitsanwendungen (DiGA)</w:t>
      </w:r>
    </w:p>
    <w:p>
      <w:r>
        <w:rPr>
          <w:color w:val="5A7D3A"/>
          <w:sz w:val="18"/>
        </w:rPr>
        <w:t>https://pubmed.ncbi.nlm.nih.gov/42865917/</w:t>
      </w:r>
    </w:p>
    <w:p>
      <w:pPr>
        <w:pStyle w:val="Heading2"/>
      </w:pPr>
      <w:r>
        <w:t>Frühe Fördereinrichtungen für Kinder mit Entwicklungsbeeinträchtigungen kaum genutzt</w:t>
      </w:r>
    </w:p>
    <w:p>
      <w:r>
        <w:rPr>
          <w:i/>
          <w:color w:val="666666"/>
          <w:sz w:val="18"/>
        </w:rPr>
        <w:t>Iskenderli HS et al.  ·  Child Care Health Dev  ·  Nov. 2026  ·  PMID 42865113</w:t>
      </w:r>
    </w:p>
    <w:p>
      <w:r>
        <w:t>Querschnittsstudie zur Nutzung von Frühförderung bei 482 Kindern mit Entwicklungsbeeinträchtigungen in der Türkei (Mitteleinkommen-Land).</w:t>
      </w:r>
    </w:p>
    <w:p>
      <w:r>
        <w:rPr>
          <w:b/>
        </w:rPr>
        <w:t xml:space="preserve">Ergebnis: </w:t>
      </w:r>
      <w:r>
        <w:t>Nur 14,9% (72/482) der Kinder besuchten eine Frühfördereinrichtung; unabhängige Faktoren für Besuch: Alter ≥36 Monate (OR 5,84) und erwerbstätige Mutter (OR 3,63); besonders Kinder unter 3 Jahren und Kinder von Haushalterinnen unterversorgt.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Türkei/LMIC-Setting, zeigt Disparitäten beim Zugang zu Früherkennung und Frühförderung</w:t>
      </w:r>
    </w:p>
    <w:p>
      <w:r>
        <w:rPr>
          <w:color w:val="5A7D3A"/>
          <w:sz w:val="18"/>
        </w:rPr>
        <w:t>https://pubmed.ncbi.nlm.nih.gov/42865113/</w:t>
      </w:r>
    </w:p>
    <w:p>
      <w:pPr>
        <w:pStyle w:val="Heading2"/>
      </w:pPr>
      <w:r>
        <w:t>Achtsamkeit puffert Zusammenhang zwischen Stress und emotionalem Essen ab</w:t>
      </w:r>
    </w:p>
    <w:p>
      <w:r>
        <w:rPr>
          <w:i/>
          <w:color w:val="666666"/>
          <w:sz w:val="18"/>
        </w:rPr>
        <w:t>Marinelli L et al.  ·  J Psychiatr Res  ·  03.09.2026  ·  PMID 42710441</w:t>
      </w:r>
    </w:p>
    <w:p>
      <w:r>
        <w:t>Französische Querschnittsstudie mit 381 Erwachsenen zu Interozeptions- und Achtsamkeitsprofilen und deren Verbindung zu Essstörungsrisiko und psychischer Belastung.</w:t>
      </w:r>
    </w:p>
    <w:p>
      <w:r>
        <w:rPr>
          <w:b/>
        </w:rPr>
        <w:t xml:space="preserve">Ergebnis: </w:t>
      </w:r>
      <w:r>
        <w:t>Vier Cluster identifiziert: höhere Achtsamkeit konsistent mit adaptiverem Essen und besseren psychologischen Ergebnissen assoziiert, unabhängig von Interozeptions-Level; niedrige Achtsamkeit mit höherem emotionalem Essen und psychischer Belastung; hohe Interozeption in Low-Mindfulness-Profilen mit niedrigeren depressiven Symptomen und Essstörungsrisiko.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Gesundheitssystem und Psychotherapie-Zugang</w:t>
      </w:r>
    </w:p>
    <w:p>
      <w:r>
        <w:rPr>
          <w:color w:val="5A7D3A"/>
          <w:sz w:val="18"/>
        </w:rPr>
        <w:t>https://pubmed.ncbi.nlm.nih.gov/42710441/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