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17.10.2026  |  6 Studien  |  mental.m-vf.de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Psychose-Frühintervention: Motivierendes Engagement der Bezugspersonen verbessert Ergebnisse</w:t>
      </w:r>
    </w:p>
    <w:p>
      <w:r>
        <w:rPr>
          <w:i/>
          <w:color w:val="666666"/>
          <w:sz w:val="18"/>
        </w:rPr>
        <w:t>Greenwood K et al.  ·  Early Interv Psychiatry  ·  Okt. 2026  ·  PMID 42886668</w:t>
      </w:r>
    </w:p>
    <w:p>
      <w:r>
        <w:t>Qualitative Studie mit 15 Klinikerinnen aus Early-Intervention-in-Psychosis-Services (EIP) zur Identifikation der Kernkomponenten eines therapeutischen Motivierungs- und Engagementmodells für Bezugspersonen.</w:t>
      </w:r>
    </w:p>
    <w:p>
      <w:r>
        <w:rPr>
          <w:b/>
        </w:rPr>
        <w:t xml:space="preserve">Ergebnis: </w:t>
      </w:r>
      <w:r>
        <w:t>Das EYE-2-Modell definiert drei therapeutische Prozessthemen (Psychoedukation, motivierendes-Engagementbeziehung, frühe systemische Ansätze) und ein Ergebnis-Thema (bedeutungsvolle Recovery-Ergebnisse). 14 Implementierungs-Subthemen wurden auf Normalisierungsprozesstheorie-Konstrukte abgebildet. Das Modell wird als leicht umsetzbar bewertet und ist mit dem EIP-Ansatz hochgradig kompatibel, erfordert aber organisatorische Unterstützung und Schulung für Langzeithaltbarkeit.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NHS-Trusts, Struktur der Frühinterventionsdienste vergleichbar mit deutschen Psychose-Spezialistenteams</w:t>
      </w:r>
    </w:p>
    <w:p>
      <w:r>
        <w:rPr>
          <w:color w:val="5A7D3A"/>
          <w:sz w:val="18"/>
        </w:rPr>
        <w:t>https://pubmed.ncbi.nlm.nih.gov/42886668/</w:t>
      </w:r>
    </w:p>
    <w:p>
      <w:pPr>
        <w:pStyle w:val="Heading2"/>
      </w:pPr>
      <w:r>
        <w:t>Supported Employment für traumatisierte junge Menschen: Vertrauen in Bezugsperson fördert Engagement</w:t>
      </w:r>
    </w:p>
    <w:p>
      <w:r>
        <w:rPr>
          <w:i/>
          <w:color w:val="666666"/>
          <w:sz w:val="18"/>
        </w:rPr>
        <w:t>Peters W et al.  ·  Early Interv Psychiatry  ·  Okt. 2026  ·  PMID 42885398</w:t>
      </w:r>
    </w:p>
    <w:p>
      <w:r>
        <w:t>Qualitative Studie mit zehn traumaexponierten jungen Menschen, die Trauma-informed Individual Placement and Support (TI-IPS) in einem australischen regionalen Jugenddienst erhalten haben; Interviews zu ihren Erfahrungen.</w:t>
      </w:r>
    </w:p>
    <w:p>
      <w:r>
        <w:rPr>
          <w:b/>
        </w:rPr>
        <w:t xml:space="preserve">Ergebnis: </w:t>
      </w:r>
      <w:r>
        <w:t>Junge Menschen beschrieben Vertrauen in den TI-IPS-Mitarbeiter als entscheidend für Arbeitsmotivation. Sie berichteten, sich im Kontakt mit dem Mitarbeiter sicher zu fühlen. Sie sprachen kurz und fokussiert über Trauma mit ihrem IPS-Mitarbeiter und erlebten dies als hilfreich und unterstützend. Das Modell kann erfolgreich in Jugenddiensten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Modell der Trauma-informierten Unterstützung bei Arbeitsintegration für deutsche Fachverbünde zwischen Psychischen-Hilfen und Eingliederung relevant</w:t>
      </w:r>
    </w:p>
    <w:p>
      <w:r>
        <w:rPr>
          <w:color w:val="5A7D3A"/>
          <w:sz w:val="18"/>
        </w:rPr>
        <w:t>https://pubmed.ncbi.nlm.nih.gov/42885398/</w:t>
      </w:r>
    </w:p>
    <w:p>
      <w:pPr>
        <w:pStyle w:val="Heading2"/>
      </w:pPr>
      <w:r>
        <w:t>Demenz-Versicherungsmodelle: Medicare Advantage und Standardversicherung zeigen ähnliche Nutzung</w:t>
      </w:r>
    </w:p>
    <w:p>
      <w:r>
        <w:rPr>
          <w:i/>
          <w:color w:val="666666"/>
          <w:sz w:val="18"/>
        </w:rPr>
        <w:t>Joseph JM et al.  ·  Health Serv Res  ·  Okt. 2026  ·  PMID 42885186</w:t>
      </w:r>
    </w:p>
    <w:p>
      <w:r>
        <w:t>Analyse der Gesundheitsleistungsnutzung in zwei US-amerikanischen Versicherungsmodellen (Medicare Advantage vs. Traditional Medicare) stratifiziert nach Demenzstatus anhand der Medicare-Current-Beneficiary-Survey 2018–2022 (N=43.995).</w:t>
      </w:r>
    </w:p>
    <w:p>
      <w:r>
        <w:rPr>
          <w:b/>
        </w:rPr>
        <w:t xml:space="preserve">Ergebnis: </w:t>
      </w:r>
      <w:r>
        <w:t>Bei Personen mit Demenz unterschied sich die Gesundheitsleistungsnutzung zwischen Versicherungsmodellen nicht signifikant für 7 von 8 Outcome-Maßen. Facharztbesuche waren in Medicare Advantage häufiger (5,2 Prozentpunkte; 95%-KI −0,1 bis 10,2). Bei Personen ohne Demenz war Medicare Advantage mit weniger Krankenhausambulanzbesuchen (−2,6; −3,7 bis −1,6) und geringerem berichtetem Bedarf für Pflegebesuche verbunden (−0,9; −1,5 bis −0,3). Effektmodifikation durch Demenzstatus nur signifikant für Facharztbesuche.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 zur vergleichbaren Nutzung unter verschiedenen Versicherungsmodellen informiert deutsche Debatte über Leistungssteuerung</w:t>
      </w:r>
    </w:p>
    <w:p>
      <w:r>
        <w:rPr>
          <w:color w:val="5A7D3A"/>
          <w:sz w:val="18"/>
        </w:rPr>
        <w:t>https://pubmed.ncbi.nlm.nih.gov/42885186/</w:t>
      </w:r>
    </w:p>
    <w:p>
      <w:pPr>
        <w:pStyle w:val="Heading2"/>
      </w:pPr>
      <w:r>
        <w:t>Nachtschicht im Gastgewerbe: Depression und Burnout verdreifachen Fehlzeitmeldungen</w:t>
      </w:r>
    </w:p>
    <w:p>
      <w:r>
        <w:rPr>
          <w:i/>
          <w:color w:val="666666"/>
          <w:sz w:val="18"/>
        </w:rPr>
        <w:t>Todorova Y et al.  ·  BMC Public Health  ·  22.07.2026  ·  PMID 42881435</w:t>
      </w:r>
    </w:p>
    <w:p>
      <w:r>
        <w:t>Querschnittstudie zur psychischen Gesundheit und Organisationsergebnissen bei 181 Arbeitskräften in Bristols Nachtgastronomie (66% unter 34 Jahren, 54% Frauen).</w:t>
      </w:r>
    </w:p>
    <w:p>
      <w:r>
        <w:rPr>
          <w:b/>
        </w:rPr>
        <w:t xml:space="preserve">Ergebnis: </w:t>
      </w:r>
      <w:r>
        <w:t>Über die Hälfte berichtete Anzeichen von Depression und/oder Burnout, ein Drittel moderate bis schwere Angststörungen. Präsentismus (bei Krankheit arbeiten) 85%, Kündigungsabsicht 40%. Angststörung (adjustierte OR 4,00; 95%-KI 1,59–10,65; p=0,004), Depression (aOR 3,44; 95%-KI 1,40–8,83; p=0,008) und Burnout (aOR 2,85; 95%-KI 1,17–7,36; p=0,024) waren mit höherer Wahrscheinlichkeit für Präsentismus assoziiert. Depression, schlechtes Wohlbefinden und Burnout waren mit niedrigerem Arbeitsengagement verbunden und erhöhten die Kündigungsabsicht.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aber Nachtschichteffekte und Präventionsbedarf in vulnerable Erwerbstätigengruppen international vergleichbar</w:t>
      </w:r>
    </w:p>
    <w:p>
      <w:r>
        <w:rPr>
          <w:color w:val="5A7D3A"/>
          <w:sz w:val="18"/>
        </w:rPr>
        <w:t>https://pubmed.ncbi.nlm.nih.gov/42881435/</w:t>
      </w:r>
    </w:p>
    <w:p>
      <w:pPr>
        <w:pStyle w:val="Heading2"/>
      </w:pPr>
      <w:r>
        <w:t>Beschäftigungstherapie in Suchtbehandlung: Teilnahme erhöht Verweildauer und Behandlungsabschluss</w:t>
      </w:r>
    </w:p>
    <w:p>
      <w:r>
        <w:rPr>
          <w:i/>
          <w:color w:val="666666"/>
          <w:sz w:val="18"/>
        </w:rPr>
        <w:t>Bardakçı MR et al.  ·  Drug Alcohol Rev  ·  Nov. 2026  ·  PMID 42881139</w:t>
      </w:r>
    </w:p>
    <w:p>
      <w:r>
        <w:t>Retrospektive Analyse von 332 stationär aufgenommenen Patienten mit Alkohol- oder Substanzkonsumstörungen in der Türkei, verglichen nach Verfügbarkeit von Beschäftigungstherapie-Angeboten (Musik, Malen, Sport).</w:t>
      </w:r>
    </w:p>
    <w:p>
      <w:r>
        <w:rPr>
          <w:b/>
        </w:rPr>
        <w:t xml:space="preserve">Ergebnis: </w:t>
      </w:r>
      <w:r>
        <w:t>In der Trainingsphase (mit Beschäftigungstherapie) zeigten Patienten signifikant längere Krankenhausaufenthalte (15,75 vs. 12,86 Tage; p&lt;0,005) und höhere Behandlungsabschlussraten (50,3% vs. 34,2%; p&lt;0,005). Die Gruppe ohne Therapieangebote hatte höhere Behandlungsmotivationswerte (p&lt;0,05), aber dies korrelierte nicht mit längerem Aufenthalt oder höheren Abschlussraten.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strukturelle Befunde zu Retention und Abschlussraten durch Aktivierungsangebote für deutsche Suchtfachverbünde übertragbar</w:t>
      </w:r>
    </w:p>
    <w:p>
      <w:r>
        <w:rPr>
          <w:color w:val="5A7D3A"/>
          <w:sz w:val="18"/>
        </w:rPr>
        <w:t>https://pubmed.ncbi.nlm.nih.gov/42881139/</w:t>
      </w:r>
    </w:p>
    <w:p>
      <w:pPr>
        <w:pStyle w:val="Heading2"/>
      </w:pPr>
      <w:r>
        <w:t>Antipsychotika-Zugang in Brasilien: Systematische Risikoanalyse in Pharmazie-Versorgung</w:t>
      </w:r>
    </w:p>
    <w:p>
      <w:r>
        <w:rPr>
          <w:i/>
          <w:color w:val="666666"/>
          <w:sz w:val="18"/>
        </w:rPr>
        <w:t>Felício LR et al.  ·  Cien Saude Colet  ·  09.10.2026  ·  PMID 42879620</w:t>
      </w:r>
    </w:p>
    <w:p>
      <w:r>
        <w:t>Risikomanagement-Analyse der Prozesse, die den Zugang zu Antipsychotika im brasilianischen SUS beeinflussen, verglichen zwischen Basis- und Spezialisierter Pharmazie-Versorgung.</w:t>
      </w:r>
    </w:p>
    <w:p>
      <w:r>
        <w:rPr>
          <w:b/>
        </w:rPr>
        <w:t xml:space="preserve">Ergebnis: </w:t>
      </w:r>
      <w:r>
        <w:t>20 Risikoereignisse wurden im Pharmazie-Versorgungszyklus identifiziert. Beide Komponenten zeigen hohe und sehr hohe Risiken (12 im Basis-komponenten 60%, 11 in der spezialisierten 55%, 7 geteilt). Die Analyse zeigt, dass beide Komponenten Risikominderung und Verbesserungsmöglichkeiten erfordern. Umgang und Übergänge zwischen Komponenten sollten von der Fähigkeit zur Risikominderung geleitet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Struktur vergleichbar mit deutschen Kassenleistungen und Fachambulatorien, Risikofrühwarnung relevant für Arzneimittellogistik</w:t>
      </w:r>
    </w:p>
    <w:p>
      <w:r>
        <w:rPr>
          <w:color w:val="5A7D3A"/>
          <w:sz w:val="18"/>
        </w:rPr>
        <w:t>https://pubmed.ncbi.nlm.nih.gov/42879620/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