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11.10.2026  |  6 Studien  |  mental.m-vf.de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Expositionsspezialisten empfehlen minimale Entspannungstechniken in Angstbehandlung für Jugendliche</w:t>
      </w:r>
    </w:p>
    <w:p>
      <w:r>
        <w:rPr>
          <w:i/>
          <w:color w:val="666666"/>
          <w:sz w:val="18"/>
        </w:rPr>
        <w:t>Becker-Haimes EM et al.  ·  Evid Based Pract Child Adolesc Ment Health  ·  05.08.2025  ·  PMID 42847843</w:t>
      </w:r>
    </w:p>
    <w:p>
      <w:r>
        <w:t>Umfrage unter 79 Experten der Expositionstherapie für Angststörungen im Jugendalter, um deren Perspektive auf Rolle und Einsatz von Entspannungs- und Achtsamkeitstechniken zu ermitteln.</w:t>
      </w:r>
    </w:p>
    <w:p>
      <w:r>
        <w:rPr>
          <w:b/>
        </w:rPr>
        <w:t xml:space="preserve">Ergebnis: </w:t>
      </w:r>
      <w:r>
        <w:t>Über 80% der Fachleute berichten, dass Entspannungstechniken sparsam oder gar nicht in Expositionsbehandlung eingesetzt werden sollten; starker Konsens über minimale Rolle; Achtsamkeit wird als hilfreicher bewertet; begrenzte Einigung über spezifische klinische Indikationen.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Expertenperspektiven international anerkannter Expositionsspezialisten; Evidenzbasis für DACH-Praxis verfügbar</w:t>
      </w:r>
    </w:p>
    <w:p>
      <w:r>
        <w:rPr>
          <w:color w:val="5A7D3A"/>
          <w:sz w:val="18"/>
        </w:rPr>
        <w:t>https://pubmed.ncbi.nlm.nih.gov/42847843/</w:t>
      </w:r>
    </w:p>
    <w:p>
      <w:pPr>
        <w:pStyle w:val="Heading2"/>
      </w:pPr>
      <w:r>
        <w:t>DBT-informiertes Tagesbehandlungsprogramm für Jugendliche erhöht Zugang und Chancengleichheit</w:t>
      </w:r>
    </w:p>
    <w:p>
      <w:r>
        <w:rPr>
          <w:i/>
          <w:color w:val="666666"/>
          <w:sz w:val="18"/>
        </w:rPr>
        <w:t>Rubenson M et al.  ·  Evid Based Pract Child Adolesc Ment Health  ·  16.12.2024  ·  PMID 42847837</w:t>
      </w:r>
    </w:p>
    <w:p>
      <w:r>
        <w:t>Beschreibung einer neuen teilstationären Behandlung (PHP) für Jugendliche mit schweren psychischen Erkrankungen an einem großen städtischen Krankenhaus unter Berücksichtigung von Finanzierungsbarrieren und Chancengleichheit.</w:t>
      </w:r>
    </w:p>
    <w:p>
      <w:r>
        <w:rPr>
          <w:b/>
        </w:rPr>
        <w:t xml:space="preserve">Ergebnis: </w:t>
      </w:r>
      <w:r>
        <w:t>Das Programm öffnete 2023 und behandelte im ersten Jahr 96 Jugendliche mit schweren psychischen Erkrankungen, davon 51% mit Medicaid-Versicherung; erfolgreiche Umsetzung evidenzbasierter Behandlung in einer nicht abgesperrten Einrichtung bei diverse Patientenpopulation.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USA-System; Konzept der equity-orientierten Programmplanung auf DACH übertragbar</w:t>
      </w:r>
    </w:p>
    <w:p>
      <w:r>
        <w:rPr>
          <w:color w:val="5A7D3A"/>
          <w:sz w:val="18"/>
        </w:rPr>
        <w:t>https://pubmed.ncbi.nlm.nih.gov/42847837/</w:t>
      </w:r>
    </w:p>
    <w:p>
      <w:pPr>
        <w:pStyle w:val="Heading2"/>
      </w:pPr>
      <w:r>
        <w:t>Co-erstelltes Bilderbuch-E-Book hilft Kindern, elterliche komplexe PTBS zu verstehen</w:t>
      </w:r>
    </w:p>
    <w:p>
      <w:r>
        <w:rPr>
          <w:i/>
          <w:color w:val="666666"/>
          <w:sz w:val="18"/>
        </w:rPr>
        <w:t>Rogers M et al.  ·  Eur J Psychotraumatol  ·  08.10.2026  ·  PMID 42845104</w:t>
      </w:r>
    </w:p>
    <w:p>
      <w:r>
        <w:t>Co-Design-Prozess mit über 30 Teilnehmern aus betroffenen Gemeinschaften zur Entwicklung einer Bibliotherapie-E-Storybook für Kinder, deren Eltern komplexe PTBS haben; Online-Befragung zur Bewertung.</w:t>
      </w:r>
    </w:p>
    <w:p>
      <w:r>
        <w:rPr>
          <w:b/>
        </w:rPr>
        <w:t xml:space="preserve">Ergebnis: </w:t>
      </w:r>
      <w:r>
        <w:t>Co-Creation-Ansatz war wirksam; 22 zusätzliche Teilnehmer bewerteten E-Storybook als nützliches Bibliotherapie-Werkzeug; Ressource fördert Schutzfaktoren, Bewältigungsstrategien und ermöglicht Familienkonversationen; kostengünstig und praktisch.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Perspektive; Narrative Ansätze für Kinder in belasteten Familien sind DACH-relevant</w:t>
      </w:r>
    </w:p>
    <w:p>
      <w:r>
        <w:rPr>
          <w:color w:val="5A7D3A"/>
          <w:sz w:val="18"/>
        </w:rPr>
        <w:t>https://pubmed.ncbi.nlm.nih.gov/42845104/</w:t>
      </w:r>
    </w:p>
    <w:p>
      <w:pPr>
        <w:pStyle w:val="Heading2"/>
      </w:pPr>
      <w:r>
        <w:t>Sehbehinderung belastet psychisches Wohlbefinden von Kindern, Barrieren im Hilfesystem erkannt</w:t>
      </w:r>
    </w:p>
    <w:p>
      <w:r>
        <w:rPr>
          <w:i/>
          <w:color w:val="666666"/>
          <w:sz w:val="18"/>
        </w:rPr>
        <w:t>Canavan RF et al.  ·  BMJ Open  ·  28.09.2026  ·  PMID 42805658</w:t>
      </w:r>
    </w:p>
    <w:p>
      <w:r>
        <w:t>Qualitative Studie mit halbstrukturierten Interviews mit 6 Jugendlichen und 12 Eltern mit erblicher Makuladegeneration in England; Analyse des Einflusses von Sehverlust auf psychisches Wohlbefinden und Hilfezugang.</w:t>
      </w:r>
    </w:p>
    <w:p>
      <w:r>
        <w:rPr>
          <w:b/>
        </w:rPr>
        <w:t xml:space="preserve">Ergebnis: </w:t>
      </w:r>
      <w:r>
        <w:t>Vier übergeordnete Themen identifiziert: Umgang mit Diagnose und Trauer, Kampf mit Hilfesystemen (zentrale Barriere), Missverständnis und soziale Stigmatisierung, Aufbau eines Lebens mit Behinderung; psychosoziale Unterstützung und Akzeptanz sind zentral.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NHS-Kontext; Befunde zur Stigmatisierung und Systembarrieren international bedeutsam</w:t>
      </w:r>
    </w:p>
    <w:p>
      <w:r>
        <w:rPr>
          <w:color w:val="5A7D3A"/>
          <w:sz w:val="18"/>
        </w:rPr>
        <w:t>https://pubmed.ncbi.nlm.nih.gov/42805658/</w:t>
      </w:r>
    </w:p>
    <w:p>
      <w:pPr>
        <w:pStyle w:val="Heading2"/>
      </w:pPr>
      <w:r>
        <w:t>Patienten bewerten verbale Interaktionen mit Pflegepersonal deutlich geringer als das Personal</w:t>
      </w:r>
    </w:p>
    <w:p>
      <w:r>
        <w:rPr>
          <w:i/>
          <w:color w:val="666666"/>
          <w:sz w:val="18"/>
        </w:rPr>
        <w:t>Rask M et al.  ·  Issues Ment Health Nurs  ·  15.09.2026  ·  PMID 42742314</w:t>
      </w:r>
    </w:p>
    <w:p>
      <w:r>
        <w:t>Vergleichende Studie der Wahrnehmung von verbalen und sozialen Interaktionen zwischen Patienten und Pflegepersonal auf psychiatrischen Stationen in Schweden mit standardisiertem Fragebogen.</w:t>
      </w:r>
    </w:p>
    <w:p>
      <w:r>
        <w:rPr>
          <w:b/>
        </w:rPr>
        <w:t xml:space="preserve">Ergebnis: </w:t>
      </w:r>
      <w:r>
        <w:t>Patienten bewerteten Häufigkeit und Qualität von Interaktionen signifikant niedriger als Pflegepersonal; Diskrepanz in der Kategorie ‚Struktur und Routinen' besonders ausgeprägt; Faktorstruktur zwischen stationären und ambulanten Settings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Gesundheitssystem; Problematik der Patientenperspektive auf psychiatrischen Stationen europaweit relevant</w:t>
      </w:r>
    </w:p>
    <w:p>
      <w:r>
        <w:rPr>
          <w:color w:val="5A7D3A"/>
          <w:sz w:val="18"/>
        </w:rPr>
        <w:t>https://pubmed.ncbi.nlm.nih.gov/42742314/</w:t>
      </w:r>
    </w:p>
    <w:p>
      <w:pPr>
        <w:pStyle w:val="Heading2"/>
      </w:pPr>
      <w:r>
        <w:t>Curriculum-Reform erhöht mentale Gesundheitsinhalte im Pflegestudium trotz anfänglicher Widerstände</w:t>
      </w:r>
    </w:p>
    <w:p>
      <w:r>
        <w:rPr>
          <w:i/>
          <w:color w:val="666666"/>
          <w:sz w:val="18"/>
        </w:rPr>
        <w:t>Baldwin L et al.  ·  Br J Nurs  ·  03.09.2026  ·  PMID 42689752</w:t>
      </w:r>
    </w:p>
    <w:p>
      <w:r>
        <w:t>Evaluation einer Curriculum-Innovation an einer britischen Universität, die zwei neue Module zu psychischer Gesundheit einführte und Studentenfeedback während der Umsetzung erfasste.</w:t>
      </w:r>
    </w:p>
    <w:p>
      <w:r>
        <w:rPr>
          <w:b/>
        </w:rPr>
        <w:t xml:space="preserve">Ergebnis: </w:t>
      </w:r>
      <w:r>
        <w:t>Modul für Erwachsenenpflege zeigte anfängliche Bedenken, die sich bis zum Modulabschluss verbesserten; Modul für Kinder und Jugendliche zeigte bessere Übereinstimmung mit Erwartungen; Implementierungschallenges bestanden, aber beide Module zeigten Erfolgszeichen.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 Pflegeausbildungsstandards; Tension zwischen Generic Nursing und Spezialisierung auch in DACH relevant</w:t>
      </w:r>
    </w:p>
    <w:p>
      <w:r>
        <w:rPr>
          <w:color w:val="5A7D3A"/>
          <w:sz w:val="18"/>
        </w:rPr>
        <w:t>https://pubmed.ncbi.nlm.nih.gov/42689752/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