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04.09.2026  |  6 Studien  |  mental.m-vf.de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Hepatitis-C-Screening bei psychisch Erkrankten – Protokoll für aktualisierte Metaanalyse</w:t>
      </w:r>
    </w:p>
    <w:p>
      <w:r>
        <w:rPr>
          <w:i/>
          <w:color w:val="666666"/>
          <w:sz w:val="18"/>
        </w:rPr>
        <w:t>Maryam S et al.  ·  BMJ Open  ·  03.09.2026  ·  PMID 42692522</w:t>
      </w:r>
    </w:p>
    <w:p>
      <w:r>
        <w:t>Protokoll für systematische Übersicht und Metaanalyse zur HCV-Prävalenz, Risikofaktoren und Versorgungsbarrieren bei Menschen mit ernsthafte psychische Erkrankungen (SMI) nach COVID-19.</w:t>
      </w:r>
    </w:p>
    <w:p>
      <w:r>
        <w:rPr>
          <w:b/>
        </w:rPr>
        <w:t xml:space="preserve">Ergebnis: </w:t>
      </w:r>
      <w:r>
        <w:t>Weder Ergebnis noch Zahlen verfügbar (Protokoll-Publikation vor Studiendurchführung, geplante Suche bis Juni 2026, bisherige Metaanalyse zeigte 8% HCV-Prävalenz bei SMI vs. niedrigere Allgemeinbevölkerung).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Übersicht geplant, Barrieren und Facilitatoren zur Versorgung sind Schwerpunkt</w:t>
      </w:r>
    </w:p>
    <w:p>
      <w:r>
        <w:rPr>
          <w:color w:val="5A7D3A"/>
          <w:sz w:val="18"/>
        </w:rPr>
        <w:t>https://pubmed.ncbi.nlm.nih.gov/42692522/</w:t>
      </w:r>
    </w:p>
    <w:p>
      <w:pPr>
        <w:pStyle w:val="Heading2"/>
      </w:pPr>
      <w:r>
        <w:t>Geschulte Gesundheitshelfer verbesserten Mentale-Health-Kompetenz und Leistungserbringung in Indien – aber Evidenz bleibt begrenzt</w:t>
      </w:r>
    </w:p>
    <w:p>
      <w:r>
        <w:rPr>
          <w:i/>
          <w:color w:val="666666"/>
          <w:sz w:val="18"/>
        </w:rPr>
        <w:t>Ruben JP et al.  ·  Indian J Med Res  ·  Sept. 2026  ·  PMID 42690870</w:t>
      </w:r>
    </w:p>
    <w:p>
      <w:r>
        <w:t>Systematische Übersicht von 13 Studien (2000–2025) zu Mental-Health-Schulungsinterventionen für akkreditierte Gesundheitshelfer (ASHAs) in Karnataka, Indien.</w:t>
      </w:r>
    </w:p>
    <w:p>
      <w:r>
        <w:rPr>
          <w:b/>
        </w:rPr>
        <w:t xml:space="preserve">Ergebnis: </w:t>
      </w:r>
      <w:r>
        <w:t>Narrative Synthese zeigt verbesserte Anbieter-Kompetenzen und Serviceerbringung in quantitativen Studien (mäßiges Vertrauen in qualitative Studien). Digitale und Hybrid-Modelle zeigten nachhaltigere Gewinne als reine Präsenz-Schulungen. Begrenzte Evidenz wegen Vor-Nach-Designs, kleiner Stichproben und Heterogenität.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 – Low-Income-Setting, aber Aufbau niedrigschwelliger Kapazitäten für Deutschland lehrreich</w:t>
      </w:r>
    </w:p>
    <w:p>
      <w:r>
        <w:rPr>
          <w:color w:val="5A7D3A"/>
          <w:sz w:val="18"/>
        </w:rPr>
        <w:t>https://pubmed.ncbi.nlm.nih.gov/42690870/</w:t>
      </w:r>
    </w:p>
    <w:p>
      <w:pPr>
        <w:pStyle w:val="Heading2"/>
      </w:pPr>
      <w:r>
        <w:t>Online-Resilienzintervention für Studierende verbesserte psychisches Wohlbefinden nur mit guter Adhärenz</w:t>
      </w:r>
    </w:p>
    <w:p>
      <w:r>
        <w:rPr>
          <w:i/>
          <w:color w:val="666666"/>
          <w:sz w:val="18"/>
        </w:rPr>
        <w:t>Bartelt S et al.  ·  Sci Rep  ·  02.09.2026  ·  PMID 42686878</w:t>
      </w:r>
    </w:p>
    <w:p>
      <w:r>
        <w:t>Randomisierte Studie mit 216 Studierenden zur Wirksamkeit eines internetgestützten Resilienztrainings via Lernplattform.</w:t>
      </w:r>
    </w:p>
    <w:p>
      <w:r>
        <w:rPr>
          <w:b/>
        </w:rPr>
        <w:t xml:space="preserve">Ergebnis: </w:t>
      </w:r>
      <w:r>
        <w:t>Unter Einhaltung des Protokolls (n=150) signifikante Verbesserung der psychischen Belastung und Selbstmitgefühl (p&lt;0,05), bei Mitnahme aller Teilnehmenden (ITT-Analyse, n=216) keine signifikanten Effekte. Adhärenz war niedrig. Mit hoher Einhaltung könnte das Angebot wertvoll für studentische Mental-Health-Services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Versorgung von Studierenden an einer Universitätsmedizin</w:t>
      </w:r>
    </w:p>
    <w:p>
      <w:r>
        <w:rPr>
          <w:color w:val="5A7D3A"/>
          <w:sz w:val="18"/>
        </w:rPr>
        <w:t>https://pubmed.ncbi.nlm.nih.gov/42686878/</w:t>
      </w:r>
    </w:p>
    <w:p>
      <w:pPr>
        <w:pStyle w:val="Heading2"/>
      </w:pPr>
      <w:r>
        <w:t>Care Navigation für Methamphetaminabhängigkeit erreichte Behandlung nicht häufiger</w:t>
      </w:r>
    </w:p>
    <w:p>
      <w:r>
        <w:rPr>
          <w:i/>
          <w:color w:val="666666"/>
          <w:sz w:val="18"/>
        </w:rPr>
        <w:t>Al-Tayyib A et al.  ·  JAMA Netw Open  ·  01.09.2026  ·  PMID 42684700</w:t>
      </w:r>
    </w:p>
    <w:p>
      <w:r>
        <w:t>Randomisiert-kontrollierte Studie (n=192 Teilnehmer) zu Wirkung von dedizierter Care Navigation mit Contingency-Management-Elementen auf Verknüpfung zur Suchtbehandlung.</w:t>
      </w:r>
    </w:p>
    <w:p>
      <w:r>
        <w:rPr>
          <w:b/>
        </w:rPr>
        <w:t xml:space="preserve">Ergebnis: </w:t>
      </w:r>
      <w:r>
        <w:t>Linkage zur Behandlung nach 30 Tagen: Intervention 25,0% (24/96) vs. Kontrolle 25,0% (24/96), RR 1,00 (95%-KI 0,61–1,63). Nach 90 Tagen: Intervention 33,3% (32/96) vs. Kontrolle 25,0% (24/96), RR 1,33 (95%-KI 0,85–2,09), beide nicht signifikant. Engagement mit Navigator war höher (62,5%), aber führte nicht zu besserer Linkage.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Sicherheits-Netzwerk, instabile Wohnverhältnisse (84,9%), aber Kontakt-Befund relevant</w:t>
      </w:r>
    </w:p>
    <w:p>
      <w:r>
        <w:rPr>
          <w:color w:val="5A7D3A"/>
          <w:sz w:val="18"/>
        </w:rPr>
        <w:t>https://pubmed.ncbi.nlm.nih.gov/42684700/</w:t>
      </w:r>
    </w:p>
    <w:p>
      <w:pPr>
        <w:pStyle w:val="Heading2"/>
      </w:pPr>
      <w:r>
        <w:t>Schlafstörungen in der hausärztlichen Versorgung verdoppelten sich – Psychotherapie bleibt untergenutzt</w:t>
      </w:r>
    </w:p>
    <w:p>
      <w:r>
        <w:rPr>
          <w:i/>
          <w:color w:val="666666"/>
          <w:sz w:val="18"/>
        </w:rPr>
        <w:t>Bertrans Vilaró B et al.  ·  Fam Med Community Health  ·  31.08.2026  ·  PMID 42674672</w:t>
      </w:r>
    </w:p>
    <w:p>
      <w:r>
        <w:t>Retrospektive Primärversorgungsstudie in Katalonien 2018–2024 zu Prävalenz und Verschreibungspraxis bei Insomnie (n=elektronische Patientenakten).</w:t>
      </w:r>
    </w:p>
    <w:p>
      <w:r>
        <w:rPr>
          <w:b/>
        </w:rPr>
        <w:t xml:space="preserve">Ergebnis: </w:t>
      </w:r>
      <w:r>
        <w:t>Insomnie-Prävalenz stieg um 43,4% auf 11,17% (95%-KI 11,05–11,28) im Jahr 2024. Psychopharmaka-Einsatz nahm von 47,88% (2018) auf 55,11% (2024) zu, davon Anxiolytika 36,68% (2018) bis 39,44% (2024). Kognitiv-behaviorale Therapie (CBT), die Erstlinientherapie, wurde untergenutzt.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– europäisches Sozialversicherungssystem, vergleichbar mit Deutschland</w:t>
      </w:r>
    </w:p>
    <w:p>
      <w:r>
        <w:rPr>
          <w:color w:val="5A7D3A"/>
          <w:sz w:val="18"/>
        </w:rPr>
        <w:t>https://pubmed.ncbi.nlm.nih.gov/42674672/</w:t>
      </w:r>
    </w:p>
    <w:p>
      <w:pPr>
        <w:pStyle w:val="Heading2"/>
      </w:pPr>
      <w:r>
        <w:t>Delirium-Prävention in australischen Krankenhäusern: Nicht-medikamentöse Strategien verbreitet, Antipsychotika-Einsatz bleibt hoch</w:t>
      </w:r>
    </w:p>
    <w:p>
      <w:r>
        <w:rPr>
          <w:i/>
          <w:color w:val="666666"/>
          <w:sz w:val="18"/>
        </w:rPr>
        <w:t>Huang S et al.  ·  Australas J Ageing  ·  Sept. 2026  ·  PMID 42656048</w:t>
      </w:r>
    </w:p>
    <w:p>
      <w:r>
        <w:t>Querschnittserhebung an 257 Stationen in Australien und Neuseeland am World Delirium Awareness Day 2023 zu Erfassung und Management von Delirium.</w:t>
      </w:r>
    </w:p>
    <w:p>
      <w:r>
        <w:rPr>
          <w:b/>
        </w:rPr>
        <w:t xml:space="preserve">Ergebnis: </w:t>
      </w:r>
      <w:r>
        <w:t>Erfassungsquote 63% (n=4033/6369 um 8:00 Uhr), detektierte Prävalenz 16% (n=637/4033). Nicht-medikamentöse Maßnahmen (Flüssigkeitsversorgung 87%, Mobilisierung 84%, Schmerzmanagement 84%) sind weit verbreitet. Antipsychotika dennoch häufig genutzt (Risperidon 36%, Haloperidol 35%, Quetiapin 31%). Fachkräftemangel (70%), Zeitmangel zur Fortbildung (53%) sind Barrieren.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Australien/Neuseeland – Krankenhaus-Systematiken teilweise vergleichbar, aber anderer Organisationsrahmen</w:t>
      </w:r>
    </w:p>
    <w:p>
      <w:r>
        <w:rPr>
          <w:color w:val="5A7D3A"/>
          <w:sz w:val="18"/>
        </w:rPr>
        <w:t>https://pubmed.ncbi.nlm.nih.gov/42656048/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