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04.09.2026  |  64 Studien  |  mental.m-vf.de</w:t>
      </w:r>
    </w:p>
    <w:p>
      <w:pPr>
        <w:pStyle w:val="Heading1"/>
      </w:pPr>
      <w:r>
        <w:t>Aufgenommen am 04.09.2026</w:t>
      </w:r>
    </w:p>
    <w:p>
      <w:pPr>
        <w:pStyle w:val="Heading2"/>
      </w:pPr>
      <w:r>
        <w:t>Hepatitis-C-Screening bei psychisch Erkrankten – Protokoll für aktualisierte Metaanalyse</w:t>
      </w:r>
    </w:p>
    <w:p>
      <w:r>
        <w:rPr>
          <w:i/>
          <w:color w:val="666666"/>
          <w:sz w:val="18"/>
        </w:rPr>
        <w:t>Maryam S et al.  ·  BMJ Open  ·  03.09.2026  ·  PMID 42692522</w:t>
      </w:r>
    </w:p>
    <w:p>
      <w:r>
        <w:t>Protokoll für systematische Übersicht und Metaanalyse zur HCV-Prävalenz, Risikofaktoren und Versorgungsbarrieren bei Menschen mit ernsthafte psychische Erkrankungen (SMI) nach COVID-19.</w:t>
      </w:r>
    </w:p>
    <w:p>
      <w:r>
        <w:rPr>
          <w:b/>
        </w:rPr>
        <w:t xml:space="preserve">Ergebnis: </w:t>
      </w:r>
      <w:r>
        <w:t>Weder Ergebnis noch Zahlen verfügbar (Protokoll-Publikation vor Studiendurchführung, geplante Suche bis Juni 2026, bisherige Metaanalyse zeigte 8% HCV-Prävalenz bei SMI vs. niedrigere Allgemeinbevölkerung).</w:t>
      </w:r>
    </w:p>
    <w:p>
      <w:r>
        <w:rPr>
          <w:b/>
          <w:sz w:val="19"/>
        </w:rPr>
        <w:t xml:space="preserve">Übertragbarkeit: </w:t>
      </w:r>
      <w:r>
        <w:rPr>
          <w:sz w:val="19"/>
        </w:rPr>
        <w:t>Systematische Übersicht geplant, Barrieren und Facilitatoren zur Versorgung sind Schwerpunkt</w:t>
      </w:r>
    </w:p>
    <w:p>
      <w:r>
        <w:rPr>
          <w:color w:val="5A7D3A"/>
          <w:sz w:val="18"/>
        </w:rPr>
        <w:t>https://pubmed.ncbi.nlm.nih.gov/42692522/</w:t>
      </w:r>
    </w:p>
    <w:p>
      <w:pPr>
        <w:pStyle w:val="Heading2"/>
      </w:pPr>
      <w:r>
        <w:t>Geschulte Gesundheitshelfer verbesserten Mentale-Health-Kompetenz und Leistungserbringung in Indien – aber Evidenz bleibt begrenzt</w:t>
      </w:r>
    </w:p>
    <w:p>
      <w:r>
        <w:rPr>
          <w:i/>
          <w:color w:val="666666"/>
          <w:sz w:val="18"/>
        </w:rPr>
        <w:t>Ruben JP et al.  ·  Indian J Med Res  ·  Sept. 2026  ·  PMID 42690870</w:t>
      </w:r>
    </w:p>
    <w:p>
      <w:r>
        <w:t>Systematische Übersicht von 13 Studien (2000–2025) zu Mental-Health-Schulungsinterventionen für akkreditierte Gesundheitshelfer (ASHAs) in Karnataka, Indien.</w:t>
      </w:r>
    </w:p>
    <w:p>
      <w:r>
        <w:rPr>
          <w:b/>
        </w:rPr>
        <w:t xml:space="preserve">Ergebnis: </w:t>
      </w:r>
      <w:r>
        <w:t>Narrative Synthese zeigt verbesserte Anbieter-Kompetenzen und Serviceerbringung in quantitativen Studien (mäßiges Vertrauen in qualitative Studien). Digitale und Hybrid-Modelle zeigten nachhaltigere Gewinne als reine Präsenz-Schulungen. Begrenzte Evidenz wegen Vor-Nach-Designs, kleiner Stichproben und Heterogenität.</w:t>
      </w:r>
    </w:p>
    <w:p>
      <w:r>
        <w:rPr>
          <w:b/>
          <w:sz w:val="19"/>
        </w:rPr>
        <w:t xml:space="preserve">Übertragbarkeit: </w:t>
      </w:r>
      <w:r>
        <w:rPr>
          <w:sz w:val="19"/>
        </w:rPr>
        <w:t>Indien – Low-Income-Setting, aber Aufbau niedrigschwelliger Kapazitäten für Deutschland lehrreich</w:t>
      </w:r>
    </w:p>
    <w:p>
      <w:r>
        <w:rPr>
          <w:color w:val="5A7D3A"/>
          <w:sz w:val="18"/>
        </w:rPr>
        <w:t>https://pubmed.ncbi.nlm.nih.gov/42690870/</w:t>
      </w:r>
    </w:p>
    <w:p>
      <w:pPr>
        <w:pStyle w:val="Heading2"/>
      </w:pPr>
      <w:r>
        <w:t>Online-Resilienzintervention für Studierende verbesserte psychisches Wohlbefinden nur mit guter Adhärenz</w:t>
      </w:r>
    </w:p>
    <w:p>
      <w:r>
        <w:rPr>
          <w:i/>
          <w:color w:val="666666"/>
          <w:sz w:val="18"/>
        </w:rPr>
        <w:t>Bartelt S et al.  ·  Sci Rep  ·  02.09.2026  ·  PMID 42686878</w:t>
      </w:r>
    </w:p>
    <w:p>
      <w:r>
        <w:t>Randomisierte Studie mit 216 Studierenden zur Wirksamkeit eines internetgestützten Resilienztrainings via Lernplattform.</w:t>
      </w:r>
    </w:p>
    <w:p>
      <w:r>
        <w:rPr>
          <w:b/>
        </w:rPr>
        <w:t xml:space="preserve">Ergebnis: </w:t>
      </w:r>
      <w:r>
        <w:t>Unter Einhaltung des Protokolls (n=150) signifikante Verbesserung der psychischen Belastung und Selbstmitgefühl (p&lt;0,05), bei Mitnahme aller Teilnehmenden (ITT-Analyse, n=216) keine signifikanten Effekte. Adhärenz war niedrig. Mit hoher Einhaltung könnte das Angebot wertvoll für studentische Mental-Health-Services sein.</w:t>
      </w:r>
    </w:p>
    <w:p>
      <w:r>
        <w:rPr>
          <w:b/>
          <w:sz w:val="19"/>
        </w:rPr>
        <w:t xml:space="preserve">Übertragbarkeit: </w:t>
      </w:r>
      <w:r>
        <w:rPr>
          <w:sz w:val="19"/>
        </w:rPr>
        <w:t>Deutschland – Versorgung von Studierenden an einer Universitätsmedizin</w:t>
      </w:r>
    </w:p>
    <w:p>
      <w:r>
        <w:rPr>
          <w:color w:val="5A7D3A"/>
          <w:sz w:val="18"/>
        </w:rPr>
        <w:t>https://pubmed.ncbi.nlm.nih.gov/42686878/</w:t>
      </w:r>
    </w:p>
    <w:p>
      <w:pPr>
        <w:pStyle w:val="Heading2"/>
      </w:pPr>
      <w:r>
        <w:t>Care Navigation für Methamphetaminabhängigkeit erreichte Behandlung nicht häufiger</w:t>
      </w:r>
    </w:p>
    <w:p>
      <w:r>
        <w:rPr>
          <w:i/>
          <w:color w:val="666666"/>
          <w:sz w:val="18"/>
        </w:rPr>
        <w:t>Al-Tayyib A et al.  ·  JAMA Netw Open  ·  01.09.2026  ·  PMID 42684700</w:t>
      </w:r>
    </w:p>
    <w:p>
      <w:r>
        <w:t>Randomisiert-kontrollierte Studie (n=192 Teilnehmer) zu Wirkung von dedizierter Care Navigation mit Contingency-Management-Elementen auf Verknüpfung zur Suchtbehandlung.</w:t>
      </w:r>
    </w:p>
    <w:p>
      <w:r>
        <w:rPr>
          <w:b/>
        </w:rPr>
        <w:t xml:space="preserve">Ergebnis: </w:t>
      </w:r>
      <w:r>
        <w:t>Linkage zur Behandlung nach 30 Tagen: Intervention 25,0% (24/96) vs. Kontrolle 25,0% (24/96), RR 1,00 (95%-KI 0,61–1,63). Nach 90 Tagen: Intervention 33,3% (32/96) vs. Kontrolle 25,0% (24/96), RR 1,33 (95%-KI 0,85–2,09), beide nicht signifikant. Engagement mit Navigator war höher (62,5%), aber führte nicht zu besserer Linkage.</w:t>
      </w:r>
    </w:p>
    <w:p>
      <w:r>
        <w:rPr>
          <w:b/>
          <w:sz w:val="19"/>
        </w:rPr>
        <w:t xml:space="preserve">Übertragbarkeit: </w:t>
      </w:r>
      <w:r>
        <w:rPr>
          <w:sz w:val="19"/>
        </w:rPr>
        <w:t>USA – Sicherheits-Netzwerk, instabile Wohnverhältnisse (84,9%), aber Kontakt-Befund relevant</w:t>
      </w:r>
    </w:p>
    <w:p>
      <w:r>
        <w:rPr>
          <w:color w:val="5A7D3A"/>
          <w:sz w:val="18"/>
        </w:rPr>
        <w:t>https://pubmed.ncbi.nlm.nih.gov/42684700/</w:t>
      </w:r>
    </w:p>
    <w:p>
      <w:pPr>
        <w:pStyle w:val="Heading2"/>
      </w:pPr>
      <w:r>
        <w:t>Schlafstörungen in der hausärztlichen Versorgung verdoppelten sich – Psychotherapie bleibt untergenutzt</w:t>
      </w:r>
    </w:p>
    <w:p>
      <w:r>
        <w:rPr>
          <w:i/>
          <w:color w:val="666666"/>
          <w:sz w:val="18"/>
        </w:rPr>
        <w:t>Bertrans Vilaró B et al.  ·  Fam Med Community Health  ·  31.08.2026  ·  PMID 42674672</w:t>
      </w:r>
    </w:p>
    <w:p>
      <w:r>
        <w:t>Retrospektive Primärversorgungsstudie in Katalonien 2018–2024 zu Prävalenz und Verschreibungspraxis bei Insomnie (n=elektronische Patientenakten).</w:t>
      </w:r>
    </w:p>
    <w:p>
      <w:r>
        <w:rPr>
          <w:b/>
        </w:rPr>
        <w:t xml:space="preserve">Ergebnis: </w:t>
      </w:r>
      <w:r>
        <w:t>Insomnie-Prävalenz stieg um 43,4% auf 11,17% (95%-KI 11,05–11,28) im Jahr 2024. Psychopharmaka-Einsatz nahm von 47,88% (2018) auf 55,11% (2024) zu, davon Anxiolytika 36,68% (2018) bis 39,44% (2024). Kognitiv-behaviorale Therapie (CBT), die Erstlinientherapie, wurde untergenutzt.</w:t>
      </w:r>
    </w:p>
    <w:p>
      <w:r>
        <w:rPr>
          <w:b/>
          <w:sz w:val="19"/>
        </w:rPr>
        <w:t xml:space="preserve">Übertragbarkeit: </w:t>
      </w:r>
      <w:r>
        <w:rPr>
          <w:sz w:val="19"/>
        </w:rPr>
        <w:t>Spanien – europäisches Sozialversicherungssystem, vergleichbar mit Deutschland</w:t>
      </w:r>
    </w:p>
    <w:p>
      <w:r>
        <w:rPr>
          <w:color w:val="5A7D3A"/>
          <w:sz w:val="18"/>
        </w:rPr>
        <w:t>https://pubmed.ncbi.nlm.nih.gov/42674672/</w:t>
      </w:r>
    </w:p>
    <w:p>
      <w:pPr>
        <w:pStyle w:val="Heading2"/>
      </w:pPr>
      <w:r>
        <w:t>Delirium-Prävention in australischen Krankenhäusern: Nicht-medikamentöse Strategien verbreitet, Antipsychotika-Einsatz bleibt hoch</w:t>
      </w:r>
    </w:p>
    <w:p>
      <w:r>
        <w:rPr>
          <w:i/>
          <w:color w:val="666666"/>
          <w:sz w:val="18"/>
        </w:rPr>
        <w:t>Huang S et al.  ·  Australas J Ageing  ·  Sept. 2026  ·  PMID 42656048</w:t>
      </w:r>
    </w:p>
    <w:p>
      <w:r>
        <w:t>Querschnittserhebung an 257 Stationen in Australien und Neuseeland am World Delirium Awareness Day 2023 zu Erfassung und Management von Delirium.</w:t>
      </w:r>
    </w:p>
    <w:p>
      <w:r>
        <w:rPr>
          <w:b/>
        </w:rPr>
        <w:t xml:space="preserve">Ergebnis: </w:t>
      </w:r>
      <w:r>
        <w:t>Erfassungsquote 63% (n=4033/6369 um 8:00 Uhr), detektierte Prävalenz 16% (n=637/4033). Nicht-medikamentöse Maßnahmen (Flüssigkeitsversorgung 87%, Mobilisierung 84%, Schmerzmanagement 84%) sind weit verbreitet. Antipsychotika dennoch häufig genutzt (Risperidon 36%, Haloperidol 35%, Quetiapin 31%). Fachkräftemangel (70%), Zeitmangel zur Fortbildung (53%) sind Barrieren.</w:t>
      </w:r>
    </w:p>
    <w:p>
      <w:r>
        <w:rPr>
          <w:b/>
          <w:sz w:val="19"/>
        </w:rPr>
        <w:t xml:space="preserve">Übertragbarkeit: </w:t>
      </w:r>
      <w:r>
        <w:rPr>
          <w:sz w:val="19"/>
        </w:rPr>
        <w:t>Australien/Neuseeland – Krankenhaus-Systematiken teilweise vergleichbar, aber anderer Organisationsrahmen</w:t>
      </w:r>
    </w:p>
    <w:p>
      <w:r>
        <w:rPr>
          <w:color w:val="5A7D3A"/>
          <w:sz w:val="18"/>
        </w:rPr>
        <w:t>https://pubmed.ncbi.nlm.nih.gov/42656048/</w:t>
      </w:r>
    </w:p>
    <w:p>
      <w:pPr>
        <w:pStyle w:val="Heading1"/>
      </w:pPr>
      <w:r>
        <w:t>Aufgenommen am 03.09.2026</w:t>
      </w:r>
    </w:p>
    <w:p>
      <w:pPr>
        <w:pStyle w:val="Heading2"/>
      </w:pPr>
      <w:r>
        <w:t>Psychisch erkrankte Schwarze Immigranten: Versorgungsbarrieren und Chancen nach COVID-19</w:t>
      </w:r>
    </w:p>
    <w:p>
      <w:r>
        <w:rPr>
          <w:i/>
          <w:color w:val="666666"/>
          <w:sz w:val="18"/>
        </w:rPr>
        <w:t>Bilal O et al.  ·  Sante Publique  ·  2026  ·  PMID 42675004</w:t>
      </w:r>
    </w:p>
    <w:p>
      <w:r>
        <w:t>Scoping Review über 19 Studien (2021-2024) zu psychischer Gesundheit schwarzer afrikanischer Immigranten in Kanada und UK; untersucht Zugang zu Versorgung und Determinanten der Behandlungslücke.</w:t>
      </w:r>
    </w:p>
    <w:p>
      <w:r>
        <w:rPr>
          <w:b/>
        </w:rPr>
        <w:t xml:space="preserve">Ergebnis: </w:t>
      </w:r>
      <w:r>
        <w:t>Hohe Raten von Depression, Angststörung und Psychosen bei schwarzen Immigranten; Hauptbarrieren: Misstrauen gegenüber eurozentrischem System, fehlendes kulturell kompetentes Fachpersonal, finanzielle Hürden, Sprachbarrieren; Schutzfaktoren: Gemeinschaftsanbindung, religiöse Unterstützung, kulturell sensible Fachkräfte. Unterstreicht kritischen Bedarf für kulturell angepasste Dienste.</w:t>
      </w:r>
    </w:p>
    <w:p>
      <w:r>
        <w:rPr>
          <w:b/>
          <w:sz w:val="19"/>
        </w:rPr>
        <w:t xml:space="preserve">Übertragbarkeit: </w:t>
      </w:r>
      <w:r>
        <w:rPr>
          <w:sz w:val="19"/>
        </w:rPr>
        <w:t>Kanada/UK, Fokus auf Versorgungsgerechtigkeit auch für Deutschland relevant.</w:t>
      </w:r>
    </w:p>
    <w:p>
      <w:r>
        <w:rPr>
          <w:color w:val="5A7D3A"/>
          <w:sz w:val="18"/>
        </w:rPr>
        <w:t>https://pubmed.ncbi.nlm.nih.gov/42675004/</w:t>
      </w:r>
    </w:p>
    <w:p>
      <w:pPr>
        <w:pStyle w:val="Heading2"/>
      </w:pPr>
      <w:r>
        <w:t>Psychische Gesundheit von Landwirten: Geschlechter- und Ungleichheitsgradienten</w:t>
      </w:r>
    </w:p>
    <w:p>
      <w:r>
        <w:rPr>
          <w:i/>
          <w:color w:val="666666"/>
          <w:sz w:val="18"/>
        </w:rPr>
        <w:t>Manneville F et al.  ·  Sante Publique  ·  2026  ·  PMID 42675000</w:t>
      </w:r>
    </w:p>
    <w:p>
      <w:r>
        <w:t>Querschnittstudie mit 1.084 französischen Landwirten (CAGRIMENT-Kohorte); misst psychisches Wohlbefinden und psychologische Belastung am Arbeitsplatz nach Soziodemografie und Lebensereignissen.</w:t>
      </w:r>
    </w:p>
    <w:p>
      <w:r>
        <w:rPr>
          <w:b/>
        </w:rPr>
        <w:t xml:space="preserve">Ergebnis: </w:t>
      </w:r>
      <w:r>
        <w:t>Durchschnittliches Wohlbefindensscore 66,6±14,2 Punkte; Belastungsscore 27,1±15,3 Punkte. Schlechtere Werte bei Frauen (β=-2,3; p=0,04), sozial vulnerablen Personen (β=-8,0; p&lt;0,01) und nach kritischen Lebensereignissen (β=-6,5; p&lt;0,01). Unterstreicht Bedarf für Interventionen bei gefährdeten Untergruppen.</w:t>
      </w:r>
    </w:p>
    <w:p>
      <w:r>
        <w:rPr>
          <w:b/>
          <w:sz w:val="19"/>
        </w:rPr>
        <w:t xml:space="preserve">Übertragbarkeit: </w:t>
      </w:r>
      <w:r>
        <w:rPr>
          <w:sz w:val="19"/>
        </w:rPr>
        <w:t>Frankreich; comparable Landwirtschaft und vulnerable Bevölkerungsgruppen auch in Deutschland.</w:t>
      </w:r>
    </w:p>
    <w:p>
      <w:r>
        <w:rPr>
          <w:color w:val="5A7D3A"/>
          <w:sz w:val="18"/>
        </w:rPr>
        <w:t>https://pubmed.ncbi.nlm.nih.gov/42675000/</w:t>
      </w:r>
    </w:p>
    <w:p>
      <w:pPr>
        <w:pStyle w:val="Heading2"/>
      </w:pPr>
      <w:r>
        <w:t>Posttraumatische Belastung und Suizidwiederholung: Co-Konstruktion der Prävention im VigilanS-Programm</w:t>
      </w:r>
    </w:p>
    <w:p>
      <w:r>
        <w:rPr>
          <w:i/>
          <w:color w:val="666666"/>
          <w:sz w:val="18"/>
        </w:rPr>
        <w:t>Creupelandt C et al.  ·  Sante Publique  ·  2026  ·  PMID 42674994</w:t>
      </w:r>
    </w:p>
    <w:p>
      <w:r>
        <w:t>Frankreich: Conceptual Paper über das nationale VigilanS-Suizidpräventionsprogramm; analysiert, wie PTBS die Responsivität auf Nachsorge nach Suizidversuch beeinflusst; schlägt Patientenbeteiligung zur Programmverfassung vor.</w:t>
      </w:r>
    </w:p>
    <w:p>
      <w:r>
        <w:rPr>
          <w:b/>
        </w:rPr>
        <w:t xml:space="preserve">Ergebnis: </w:t>
      </w:r>
      <w:r>
        <w:t>PTBS-assoziiert mit Suizidwiederholungen; unterrepräsentiert in bisherigen Präventionsstrategien. VigilanS fokussiert auf Aufrechterhalt des Kontakts, aber PTBS-Patienten weniger responsiv. Empfehlung: Erfahrungswissen von betroffenen Patienten mit PTBS und Suizidversuch in die Interventionsgestaltung integrieren für bessere Anpassung an individuelle Bedürfnisse.</w:t>
      </w:r>
    </w:p>
    <w:p>
      <w:r>
        <w:rPr>
          <w:b/>
          <w:sz w:val="19"/>
        </w:rPr>
        <w:t xml:space="preserve">Übertragbarkeit: </w:t>
      </w:r>
      <w:r>
        <w:rPr>
          <w:sz w:val="19"/>
        </w:rPr>
        <w:t>Frankreich; Suizidprävention und PTBS-Besonderheiten auch im deutschen System (VigilanS-Analogien) relevant.</w:t>
      </w:r>
    </w:p>
    <w:p>
      <w:r>
        <w:rPr>
          <w:color w:val="5A7D3A"/>
          <w:sz w:val="18"/>
        </w:rPr>
        <w:t>https://pubmed.ncbi.nlm.nih.gov/42674994/</w:t>
      </w:r>
    </w:p>
    <w:p>
      <w:pPr>
        <w:pStyle w:val="Heading2"/>
      </w:pPr>
      <w:r>
        <w:t>Rechtsstandards für Zwangsunterbringung in Dänemark 2024: Prozessuale Defizite</w:t>
      </w:r>
    </w:p>
    <w:p>
      <w:r>
        <w:rPr>
          <w:i/>
          <w:color w:val="666666"/>
          <w:sz w:val="18"/>
        </w:rPr>
        <w:t>Munk-Poulsen M et al.  ·  Ugeskr Laeger  ·  10.08.2026  ·  PMID 42671048</w:t>
      </w:r>
    </w:p>
    <w:p>
      <w:r>
        <w:t>Dänemark: Review der rechtlichen Anforderungen für psychiatrische Zwangsunterbringung; 2024 wurden 4.985 Zwangsaufnahmen durchgeführt; analysiert Anforderungen an ärztliche Bewertung und psychopathologische Dokumentation.</w:t>
      </w:r>
    </w:p>
    <w:p>
      <w:r>
        <w:rPr>
          <w:b/>
        </w:rPr>
        <w:t xml:space="preserve">Ergebnis: </w:t>
      </w:r>
      <w:r>
        <w:t>4.985 Zwangsaufnahmen in Dänemark 2024. Standardproblem: Aufnahmeärzte dürfen nicht in der aufnehmenden Klinik tätig sein, daher meist Nichtpsychiater; schafft Unsicherheit über korrekte Verfahrensschritte, Dokumentation von Symptomen und Motivation zur freiwilligen Aufnahme.</w:t>
      </w:r>
    </w:p>
    <w:p>
      <w:r>
        <w:rPr>
          <w:b/>
          <w:sz w:val="19"/>
        </w:rPr>
        <w:t xml:space="preserve">Übertragbarkeit: </w:t>
      </w:r>
      <w:r>
        <w:rPr>
          <w:sz w:val="19"/>
        </w:rPr>
        <w:t>Dänemark/Nordeuropa; PsychKG-Verfahren in Deutschland strukturell anders, aber Problematik der Dokumentation übertragbar.</w:t>
      </w:r>
    </w:p>
    <w:p>
      <w:r>
        <w:rPr>
          <w:color w:val="5A7D3A"/>
          <w:sz w:val="18"/>
        </w:rPr>
        <w:t>https://pubmed.ncbi.nlm.nih.gov/42671048/</w:t>
      </w:r>
    </w:p>
    <w:p>
      <w:pPr>
        <w:pStyle w:val="Heading2"/>
      </w:pPr>
      <w:r>
        <w:t>Anstrengungsvergütungs-Unausgeglichenheit und Psyche bei Polizisten: Zusammenhang unabhängig von Berufsgruppe</w:t>
      </w:r>
    </w:p>
    <w:p>
      <w:r>
        <w:rPr>
          <w:i/>
          <w:color w:val="666666"/>
          <w:sz w:val="18"/>
        </w:rPr>
        <w:t>Lau B et al.  ·  Int Arch Occup Environ Health  ·  29.08.2026  ·  PMID 42667430</w:t>
      </w:r>
    </w:p>
    <w:p>
      <w:r>
        <w:t>Norwegen: Cross-sectional-Studie mit 560 Polizeiangehörigen (Ermittler und zivile Mitarbeiter); testet Effort-Reward-Imbalance-Modell gegen Angst-, Depressionsymptome und berufliche Leistungsfähigkeit.</w:t>
      </w:r>
    </w:p>
    <w:p>
      <w:r>
        <w:rPr>
          <w:b/>
        </w:rPr>
        <w:t xml:space="preserve">Ergebnis: </w:t>
      </w:r>
      <w:r>
        <w:t>Höheres ERI-Verhältnis assoziiert mit höherer Angst (β=0,28), höherer Depression (β=0,33), niedrigerem Engagement (β=-0,27), schlechterer Selbstwirksamkeit (β=-0,16). Übercommitment stärker assoziiert mit Angst (β=0,50) und Depression (β=0,46). Keine signifikanten Unterschiede zwischen Berufsgruppen; Muster gelten über Kategorien hinweg.</w:t>
      </w:r>
    </w:p>
    <w:p>
      <w:r>
        <w:rPr>
          <w:b/>
          <w:sz w:val="19"/>
        </w:rPr>
        <w:t xml:space="preserve">Übertragbarkeit: </w:t>
      </w:r>
      <w:r>
        <w:rPr>
          <w:sz w:val="19"/>
        </w:rPr>
        <w:t>Norwegen, Wohlfahrtsstaat; Befunde zur Stress-Psyche-Gesundheit auch auf deutsche Arbeitskontexte übertragbar.</w:t>
      </w:r>
    </w:p>
    <w:p>
      <w:r>
        <w:rPr>
          <w:color w:val="5A7D3A"/>
          <w:sz w:val="18"/>
        </w:rPr>
        <w:t>https://pubmed.ncbi.nlm.nih.gov/42667430/</w:t>
      </w:r>
    </w:p>
    <w:p>
      <w:pPr>
        <w:pStyle w:val="Heading2"/>
      </w:pPr>
      <w:r>
        <w:t>Nichtadherenzen und Selbstmord-Rehospitalisierung bei Schizophrenie: Bosniische Kohorte</w:t>
      </w:r>
    </w:p>
    <w:p>
      <w:r>
        <w:rPr>
          <w:i/>
          <w:color w:val="666666"/>
          <w:sz w:val="18"/>
        </w:rPr>
        <w:t>Osmanovic S et al.  ·  Med Glas (Zenica)  ·  21.07.2026  ·  PMID 42592977</w:t>
      </w:r>
    </w:p>
    <w:p>
      <w:r>
        <w:t>Retrospektive Kohorte aus Bosnien, 87 Patienten mit Schizophrenie hospitalisiert 2014-2018, 12-Monats-Nachverfolgung; Rehospitalisierung als Outcome, Adhärenz und Nichtkooperativität als Prädiktoren.</w:t>
      </w:r>
    </w:p>
    <w:p>
      <w:r>
        <w:rPr>
          <w:b/>
        </w:rPr>
        <w:t xml:space="preserve">Ergebnis: </w:t>
      </w:r>
      <w:r>
        <w:t>Rehospitalisierungsquote 36,8% (32/87) innerhalb 12 Monaten. Medikamentöse Nichtadherenzen (OR 11,33; 95% CI 3,58-35,87; p&lt;0,001) und dokumentierte Nichtkooperativität (OR 10,00; 95% CI 3,16-31,62; p&lt;0,001) stark mit Wiederaufnahme assoziiert. Antipsychotikaklasse und Polypharmacie nicht signifikant; Depot-Formulierungen in 32,8% dokumentiert.</w:t>
      </w:r>
    </w:p>
    <w:p>
      <w:r>
        <w:rPr>
          <w:b/>
          <w:sz w:val="19"/>
        </w:rPr>
        <w:t xml:space="preserve">Übertragbarkeit: </w:t>
      </w:r>
      <w:r>
        <w:rPr>
          <w:sz w:val="19"/>
        </w:rPr>
        <w:t>Südosteuropa; Adhärenzherausforderungen und Nachsorgedefizite strukturell mit Deutschland vergleichbar.</w:t>
      </w:r>
    </w:p>
    <w:p>
      <w:r>
        <w:rPr>
          <w:color w:val="5A7D3A"/>
          <w:sz w:val="18"/>
        </w:rPr>
        <w:t>https://pubmed.ncbi.nlm.nih.gov/42592977/</w:t>
      </w:r>
    </w:p>
    <w:p>
      <w:pPr>
        <w:pStyle w:val="Heading1"/>
      </w:pPr>
      <w:r>
        <w:t>Aufgenommen am 02.09.2026</w:t>
      </w:r>
    </w:p>
    <w:p>
      <w:pPr>
        <w:pStyle w:val="Heading2"/>
      </w:pPr>
      <w:r>
        <w:t>Persönlichkeitsstörungen in forensischer Ambulanz unterdiagnostiziert</w:t>
      </w:r>
    </w:p>
    <w:p>
      <w:r>
        <w:rPr>
          <w:i/>
          <w:color w:val="666666"/>
          <w:sz w:val="18"/>
        </w:rPr>
        <w:t>Van Reijswoud BE et al.  ·  Personal Ment Health  ·  Nov. 2026  ·  PMID 42680701</w:t>
      </w:r>
    </w:p>
    <w:p>
      <w:r>
        <w:t>Niederländische Prävalenzstudie der Persönlichkeitsstörungsdiagnosen in ambulanten forensisch-psychiatrischen Einrichtungen (2023); 10.560 Personen aus 15 Institutionen, Analyse demografischer und klinischer Charakteristika.</w:t>
      </w:r>
    </w:p>
    <w:p>
      <w:r>
        <w:rPr>
          <w:b/>
        </w:rPr>
        <w:t xml:space="preserve">Ergebnis: </w:t>
      </w:r>
      <w:r>
        <w:t>19,3 % aller Patienten mit Persönlichkeitsstörungsdiagnose, davon 12 % als Hauptdiagnose und 7,3 % als Nebendiagnose – deutet auf Untererfassung hin. Höhere Prävalenz bei Frauen, mittlerem Alter, freiwilliger Behandlung und schwerer Gewalt. Befund: systematische Diagnostik wird nicht ausreichend durchgeführt.</w:t>
      </w:r>
    </w:p>
    <w:p>
      <w:r>
        <w:rPr>
          <w:b/>
          <w:sz w:val="19"/>
        </w:rPr>
        <w:t xml:space="preserve">Übertragbarkeit: </w:t>
      </w:r>
      <w:r>
        <w:rPr>
          <w:sz w:val="19"/>
        </w:rPr>
        <w:t>Niederlande, vergleichbares Versicherungssystem; forensisches System mit Ähnlichkeiten zur DACH-Region.</w:t>
      </w:r>
    </w:p>
    <w:p>
      <w:r>
        <w:rPr>
          <w:color w:val="5A7D3A"/>
          <w:sz w:val="18"/>
        </w:rPr>
        <w:t>https://pubmed.ncbi.nlm.nih.gov/42680701/</w:t>
      </w:r>
    </w:p>
    <w:p>
      <w:pPr>
        <w:pStyle w:val="Heading2"/>
      </w:pPr>
      <w:r>
        <w:t>Alkoholabhängigkeit: Übergang von Allgemeinkliniken zur Spezialversorgung scheitert</w:t>
      </w:r>
    </w:p>
    <w:p>
      <w:r>
        <w:rPr>
          <w:i/>
          <w:color w:val="666666"/>
          <w:sz w:val="18"/>
        </w:rPr>
        <w:t>Inokuchi K et al.  ·  Alcohol Alcohol  ·  20.07.2026  ·  PMID 42680198</w:t>
      </w:r>
    </w:p>
    <w:p>
      <w:r>
        <w:t>Qualitative Studie über die Erfahrungen von Patienten mit Alkoholabhängigkeit und deren Familien in japanischen Allgemeinkliniken; untersucht, welche Faktoren den Übergang zur Spezialbehandlung behindern.</w:t>
      </w:r>
    </w:p>
    <w:p>
      <w:r>
        <w:rPr>
          <w:b/>
        </w:rPr>
        <w:t xml:space="preserve">Ergebnis: </w:t>
      </w:r>
      <w:r>
        <w:t>Fehlerhafte Kommunikation durch Nichtspezialisten verstärkt Stigma und Widerstand gegen spezialisierte Behandlung; zentral sind mangelndes Wissen des Fachpersonals über Alkoholabhängigkeit, unangemessene Ratschläge wie "weniger trinken" und fehlende Zusammenarbeit mit Familien. Empfehlung: Non-stigmatizing approach, Zusammenarbeit mit Familien, proaktive Vermittlung von Ressourcen.</w:t>
      </w:r>
    </w:p>
    <w:p>
      <w:r>
        <w:rPr>
          <w:b/>
          <w:sz w:val="19"/>
        </w:rPr>
        <w:t xml:space="preserve">Übertragbarkeit: </w:t>
      </w:r>
      <w:r>
        <w:rPr>
          <w:sz w:val="19"/>
        </w:rPr>
        <w:t>Japan, qualitative Perspektive; Probleme der Schnittstellen zwischen Sektoren sind international.</w:t>
      </w:r>
    </w:p>
    <w:p>
      <w:r>
        <w:rPr>
          <w:color w:val="5A7D3A"/>
          <w:sz w:val="18"/>
        </w:rPr>
        <w:t>https://pubmed.ncbi.nlm.nih.gov/42680198/</w:t>
      </w:r>
    </w:p>
    <w:p>
      <w:pPr>
        <w:pStyle w:val="Heading2"/>
      </w:pPr>
      <w:r>
        <w:t>Online-Therapie für väterliche Wochenbettdepression wirksam</w:t>
      </w:r>
    </w:p>
    <w:p>
      <w:r>
        <w:rPr>
          <w:i/>
          <w:color w:val="666666"/>
          <w:sz w:val="18"/>
        </w:rPr>
        <w:t>Holt C et al.  ·  J Med Internet Res  ·  01.09.2026  ·  PMID 42678899</w:t>
      </w:r>
    </w:p>
    <w:p>
      <w:r>
        <w:t>Australisches RCT (n=50, Väter ≥18 Jahre, Baby &lt;12 Monate, diagnostizierte Depression, keine andere psychische Störung) mit Vergleich von DadBooster (online CBT) vs. Warteliste-Kontrolle über 12 Wochen; Ziel: erste wirksame Online-Behandlung für väterliche postnatale Depression.</w:t>
      </w:r>
    </w:p>
    <w:p>
      <w:r>
        <w:rPr>
          <w:b/>
        </w:rPr>
        <w:t xml:space="preserve">Ergebnis: </w:t>
      </w:r>
      <w:r>
        <w:t>Depression symptoms (DASS-21) signifikant niedriger bei DadBooster vs. Warteliste (adjustierte mittlere Differenz -7,26, 95% KI -11,34 bis -3,18; F1,47=12,81; p&lt;0,001; ηp2=0,21). Symptom-Reduktion 72 % unter DadBooster vs. 40 % Kontrolle; Werte normalisierten sich bei DadBooster. Remission: 2/23 (9 %) DadBooster vs. 7/24 (29 %) Kontrolle (n.s.). Signifikante Unterschiede auch bei Stress (d=0,16), parenting self-efficacy (d=0,14) und negativen automatischen Gedanken (d=0,17). Adherence: 80 % besuchten ≥4 Sitzungen, geringe Attrition, keine adverse events.</w:t>
      </w:r>
    </w:p>
    <w:p>
      <w:r>
        <w:rPr>
          <w:b/>
          <w:sz w:val="19"/>
        </w:rPr>
        <w:t xml:space="preserve">Übertragbarkeit: </w:t>
      </w:r>
      <w:r>
        <w:rPr>
          <w:sz w:val="19"/>
        </w:rPr>
        <w:t>Australien, ähnliche Sozialversicherung; Väterliche Wochenbettdepression ist deutschlandweit vernachlässigtes Versorgungs­problem.</w:t>
      </w:r>
    </w:p>
    <w:p>
      <w:r>
        <w:rPr>
          <w:color w:val="5A7D3A"/>
          <w:sz w:val="18"/>
        </w:rPr>
        <w:t>https://pubmed.ncbi.nlm.nih.gov/42678899/</w:t>
      </w:r>
    </w:p>
    <w:p>
      <w:pPr>
        <w:pStyle w:val="Heading2"/>
      </w:pPr>
      <w:r>
        <w:t>Stigmatisierung in Psychiatrie – Zentrales Versorgungshindernis in Europa</w:t>
      </w:r>
    </w:p>
    <w:p>
      <w:r>
        <w:rPr>
          <w:i/>
          <w:color w:val="666666"/>
          <w:sz w:val="18"/>
        </w:rPr>
        <w:t>Fond-Harmant L et al.  ·  Sante Publique  ·  2026  ·  PMID 42674996</w:t>
      </w:r>
    </w:p>
    <w:p>
      <w:r>
        <w:t>Narrative kritische Übersicht (2015-2025, 86 Studien) über Stigmatisierung als Barriere für Zugang und Recovery; untersucht Mechanismen, Folgen und schützende Faktoren in Frankreich und Europa.</w:t>
      </w:r>
    </w:p>
    <w:p>
      <w:r>
        <w:rPr>
          <w:b/>
        </w:rPr>
        <w:t xml:space="preserve">Ergebnis: </w:t>
      </w:r>
      <w:r>
        <w:t>Stigmatisierung (Etikettierung, Stereotypisierung, Diskriminierung, Selbststigmatisierung) verzögert Hilfezugang, verschärft psychische Belastung, führt zu sozialer Ausgrenzung und hohen Kosten. Zentrale Hebel: öffentliche Politiken, Medien, Peer Support. Befund: Harmonisierung von Messinstrumenten, Langzeitbewertungen und koordinierte Mobilisierung erforderlich. Innovativ: Strategien aus gelebter Erfahrung, Peer Support und Co-Konstruktion von Politiken.</w:t>
      </w:r>
    </w:p>
    <w:p>
      <w:r>
        <w:rPr>
          <w:b/>
          <w:sz w:val="19"/>
        </w:rPr>
        <w:t xml:space="preserve">Übertragbarkeit: </w:t>
      </w:r>
      <w:r>
        <w:rPr>
          <w:sz w:val="19"/>
        </w:rPr>
        <w:t>Frankreich und europäische Länder; Stigmatisierung ist deutschland-relevantem Versorgungsproblem.</w:t>
      </w:r>
    </w:p>
    <w:p>
      <w:r>
        <w:rPr>
          <w:color w:val="5A7D3A"/>
          <w:sz w:val="18"/>
        </w:rPr>
        <w:t>https://pubmed.ncbi.nlm.nih.gov/42674996/</w:t>
      </w:r>
    </w:p>
    <w:p>
      <w:pPr>
        <w:pStyle w:val="Heading2"/>
      </w:pPr>
      <w:r>
        <w:t>Psychische Gesundheit fördern durch lokale Kooperation: SISM-Wochen als Modell</w:t>
      </w:r>
    </w:p>
    <w:p>
      <w:r>
        <w:rPr>
          <w:i/>
          <w:color w:val="666666"/>
          <w:sz w:val="18"/>
        </w:rPr>
        <w:t>Pierre-François A et al.  ·  Sante Publique  ·  2026  ·  PMID 42674992</w:t>
      </w:r>
    </w:p>
    <w:p>
      <w:r>
        <w:t>Quantitative Studie über Kooperationspraktiken in lokalen französischen Kollektiven der "Wochen der Psychischen Gesundheit" (SISM); 143 Befragte aus Selbsthilfeorganisationen und Behörden.</w:t>
      </w:r>
    </w:p>
    <w:p>
      <w:r>
        <w:rPr>
          <w:b/>
        </w:rPr>
        <w:t xml:space="preserve">Ergebnis: </w:t>
      </w:r>
      <w:r>
        <w:t>Erfolgreiche Zusammenarbeit beruht auf regelmäßigen Treffen, Koordinierungsinstrumenten und Vertrauensklima zwischen Mitgliedern. Interne Koordination durch Verantwortungsteilung und adaptive Governance gekennzeichnet. Diese Elemente fördern Gefühl kollektiver Wirksamkeit und Zufriedenheit mit Veranstaltungen. Konkrete Facilitators: flexible Führung, persönliche Treffen, formale und informale Austauschgelegenheiten, Charta/Action Plans. Freiwilliges Engagement ist verbreitet, Co-Konstruktion mit Betroffenen reduziert berufliche Silos territorial.</w:t>
      </w:r>
    </w:p>
    <w:p>
      <w:r>
        <w:rPr>
          <w:b/>
          <w:sz w:val="19"/>
        </w:rPr>
        <w:t xml:space="preserve">Übertragbarkeit: </w:t>
      </w:r>
      <w:r>
        <w:rPr>
          <w:sz w:val="19"/>
        </w:rPr>
        <w:t>Frankreich; Modell lokaler Gesundheitsförderung in Nachbarländern mit ähnlichen Strukturen anwendbar.</w:t>
      </w:r>
    </w:p>
    <w:p>
      <w:r>
        <w:rPr>
          <w:color w:val="5A7D3A"/>
          <w:sz w:val="18"/>
        </w:rPr>
        <w:t>https://pubmed.ncbi.nlm.nih.gov/42674992/</w:t>
      </w:r>
    </w:p>
    <w:p>
      <w:pPr>
        <w:pStyle w:val="Heading2"/>
      </w:pPr>
      <w:r>
        <w:t>Internet-gestützte CBT für Angststörungen bei Kindern: verzögerter Therapieeffekt anhaltend</w:t>
      </w:r>
    </w:p>
    <w:p>
      <w:r>
        <w:rPr>
          <w:i/>
          <w:color w:val="666666"/>
          <w:sz w:val="18"/>
        </w:rPr>
        <w:t>Sourander A et al.  ·  JAMA Netw Open  ·  03.08.2026  ·  PMID 42599708</w:t>
      </w:r>
    </w:p>
    <w:p>
      <w:r>
        <w:t>Finnische Kohorte des RCT "Master Your Worries" (2017-2020) mit 2-Jahres-Follow-up; 465 Kinder (10-13 Jahre) mit erhöhter Angst, randomisiert zu Internet-CBT (10 Module + Telefoncoaching) vs. Psychoedukation.</w:t>
      </w:r>
    </w:p>
    <w:p>
      <w:r>
        <w:rPr>
          <w:b/>
        </w:rPr>
        <w:t xml:space="preserve">Ergebnis: </w:t>
      </w:r>
      <w:r>
        <w:t>Primary outcome (SCARED-C/P total scores) zeigt statistisch signifikante Unterschiede zugunsten iCBT bei 12 Monaten (SCARED-C: Differenz 4,5 Punkte, p&lt;0,001, Cohen d=0,35; SCARED-P: 3,4 Punkte, p&lt;0,001, d=0,36) und 24 Monaten (SCARED-C: 4,4 Punkte, p=0,001, d=0,29; SCARED-P: 2,3 Punkte, p=0,04, d=0,19). Effektgröße nahm von 6 zu 12 Monaten zu und blieb durch 24 Monate erhalten. Besonderheit: verzögerter Anstieg der Effektivität von 6 auf 12 Monate, dann Stabilisierung.</w:t>
      </w:r>
    </w:p>
    <w:p>
      <w:r>
        <w:rPr>
          <w:b/>
          <w:sz w:val="19"/>
        </w:rPr>
        <w:t xml:space="preserve">Übertragbarkeit: </w:t>
      </w:r>
      <w:r>
        <w:rPr>
          <w:sz w:val="19"/>
        </w:rPr>
        <w:t>Schweden (nordeuropäisches Sozialversicherungssystem); Telemedizin für Kinderpsychiatrie mit deutschen Parallelen.</w:t>
      </w:r>
    </w:p>
    <w:p>
      <w:r>
        <w:rPr>
          <w:color w:val="5A7D3A"/>
          <w:sz w:val="18"/>
        </w:rPr>
        <w:t>https://pubmed.ncbi.nlm.nih.gov/42599708/</w:t>
      </w:r>
    </w:p>
    <w:p>
      <w:pPr>
        <w:pStyle w:val="Heading1"/>
      </w:pPr>
      <w:r>
        <w:t>Aufgenommen am 01.09.2026</w:t>
      </w:r>
    </w:p>
    <w:p>
      <w:pPr>
        <w:pStyle w:val="Heading2"/>
      </w:pPr>
      <w:r>
        <w:t>Supported Employment erhöht Arbeitsintegration auf 51% und hält Beschäftigung zu 62%</w:t>
      </w:r>
    </w:p>
    <w:p>
      <w:r>
        <w:rPr>
          <w:i/>
          <w:color w:val="666666"/>
          <w:sz w:val="18"/>
        </w:rPr>
        <w:t>Marec MG  ·  Sante Publique  ·  2026  ·  PMID 42674991</w:t>
      </w:r>
    </w:p>
    <w:p>
      <w:r>
        <w:t>Französische Mischstudie mit 1.027 Personen in Unterstützter Beschäftigung nach dem IPS-Modell, das Menschen mit psychischen Behinderungen in reguläre Jobs vermittelt.</w:t>
      </w:r>
    </w:p>
    <w:p>
      <w:r>
        <w:rPr>
          <w:b/>
        </w:rPr>
        <w:t xml:space="preserve">Ergebnis: </w:t>
      </w:r>
      <w:r>
        <w:t>51% Arbeitsplatzintegration, 62% Arbeitserhalt nach 6 Monaten; Wohlbefinden stieg bei Erwerbstätigen, Recovery-Dimensionen profitierten vom Modell unabhängig von Erwerbstatus. Organisationen zeigten hohe IPS-Treue, Arbeitsvermittler hohe Fachkompetenz.</w:t>
      </w:r>
    </w:p>
    <w:p>
      <w:r>
        <w:rPr>
          <w:b/>
          <w:sz w:val="19"/>
        </w:rPr>
        <w:t xml:space="preserve">Übertragbarkeit: </w:t>
      </w:r>
      <w:r>
        <w:rPr>
          <w:sz w:val="19"/>
        </w:rPr>
        <w:t>Frankreich, Mischstudie mit Organisationen/Fachkräften/Nutzern, vergleichbares französisches Wohlfahrtssystem</w:t>
      </w:r>
    </w:p>
    <w:p>
      <w:r>
        <w:rPr>
          <w:color w:val="5A7D3A"/>
          <w:sz w:val="18"/>
        </w:rPr>
        <w:t>https://pubmed.ncbi.nlm.nih.gov/42674991/</w:t>
      </w:r>
    </w:p>
    <w:p>
      <w:pPr>
        <w:pStyle w:val="Heading2"/>
      </w:pPr>
      <w:r>
        <w:t>Medico-soziale Unterstützung: Potenzial und Grenzen als Versorgung psychisch Kranker</w:t>
      </w:r>
    </w:p>
    <w:p>
      <w:r>
        <w:rPr>
          <w:i/>
          <w:color w:val="666666"/>
          <w:sz w:val="18"/>
        </w:rPr>
        <w:t>Azevedo M  ·  Sante Publique  ·  2026  ·  PMID 42674987</w:t>
      </w:r>
    </w:p>
    <w:p>
      <w:r>
        <w:t>Qualitative Feldstudie in zwei französischen medico-sozialen Diensten (SAVS, SAMSAH), die Menschen mit psychischen Behinderungen ambulant unterstützen; Analyse durch Lense der Public Mental Health.</w:t>
      </w:r>
    </w:p>
    <w:p>
      <w:r>
        <w:rPr>
          <w:b/>
        </w:rPr>
        <w:t xml:space="preserve">Ergebnis: </w:t>
      </w:r>
      <w:r>
        <w:t>Dienste realisieren Prävention und Gesundheitsförderung, integrieren Determinanten der Versorgung; aber: marginale Anerkennung durch Psychiatrie wegen Zuordnung zur Behindertenpolitik, Koordinationsschwierigkeiten zwischen Sektoren, Spannungen bei Autonomie-/Abhängigkeitsbewertung, Risiko von Kontrolle statt Unterstützung.</w:t>
      </w:r>
    </w:p>
    <w:p>
      <w:r>
        <w:rPr>
          <w:b/>
          <w:sz w:val="19"/>
        </w:rPr>
        <w:t xml:space="preserve">Übertragbarkeit: </w:t>
      </w:r>
      <w:r>
        <w:rPr>
          <w:sz w:val="19"/>
        </w:rPr>
        <w:t>Frankreich, qualitative Feldstudie, einzigartige Struktur französischer Eingliederungshilfe</w:t>
      </w:r>
    </w:p>
    <w:p>
      <w:r>
        <w:rPr>
          <w:color w:val="5A7D3A"/>
          <w:sz w:val="18"/>
        </w:rPr>
        <w:t>https://pubmed.ncbi.nlm.nih.gov/42674987/</w:t>
      </w:r>
    </w:p>
    <w:p>
      <w:pPr>
        <w:pStyle w:val="Heading2"/>
      </w:pPr>
      <w:r>
        <w:t>Aufsuchende Psychologen in Spezialisierter Prävention reduzieren Stigma und öffnen Zugang</w:t>
      </w:r>
    </w:p>
    <w:p>
      <w:r>
        <w:rPr>
          <w:i/>
          <w:color w:val="666666"/>
          <w:sz w:val="18"/>
        </w:rPr>
        <w:t>Niang PM  ·  Sante Publique  ·  2026  ·  PMID 42674985</w:t>
      </w:r>
    </w:p>
    <w:p>
      <w:r>
        <w:t>Qualitative Aktionsforschung 2024 mit 7 Straßenpsychologen in Nord-/Pas-de-Calais, Pilotprojekt seit 2018 zur Psychiatrisierung der Spezialisierten Prävention für Jugendliche.</w:t>
      </w:r>
    </w:p>
    <w:p>
      <w:r>
        <w:rPr>
          <w:b/>
        </w:rPr>
        <w:t xml:space="preserve">Ergebnis: </w:t>
      </w:r>
      <w:r>
        <w:t>Psychologen entwickeln neue Praxis des Aufsuchen-Gehens ohne Warteerwartung, deconstruieren negative Psychologie-Wahrnehmung in Vororten, bewirken Repositionierung zwischen Pädagogen/Psychologen (Transprofessionalität), Effekte auf junge Leute sichtbar aber durch Stellenprekariat bedroht.</w:t>
      </w:r>
    </w:p>
    <w:p>
      <w:r>
        <w:rPr>
          <w:b/>
          <w:sz w:val="19"/>
        </w:rPr>
        <w:t xml:space="preserve">Übertragbarkeit: </w:t>
      </w:r>
      <w:r>
        <w:rPr>
          <w:sz w:val="19"/>
        </w:rPr>
        <w:t>Frankreich, qualitative Aktionsforschung, spezifisches französisches Präventionssystem</w:t>
      </w:r>
    </w:p>
    <w:p>
      <w:r>
        <w:rPr>
          <w:color w:val="5A7D3A"/>
          <w:sz w:val="18"/>
        </w:rPr>
        <w:t>https://pubmed.ncbi.nlm.nih.gov/42674985/</w:t>
      </w:r>
    </w:p>
    <w:p>
      <w:pPr>
        <w:pStyle w:val="Heading2"/>
      </w:pPr>
      <w:r>
        <w:t>Schwerer psychischer Erkrankung: Koordinationsmängel und unzureichende Dokumentation von Modellen</w:t>
      </w:r>
    </w:p>
    <w:p>
      <w:r>
        <w:rPr>
          <w:i/>
          <w:color w:val="666666"/>
          <w:sz w:val="18"/>
        </w:rPr>
        <w:t>Touitou-Burckard E et al.  ·  Sante Publique  ·  2026  ·  PMID 42674984</w:t>
      </w:r>
    </w:p>
    <w:p>
      <w:r>
        <w:t>Narrative Synthesereview französisch- und englischsprachiger Literatur zu Barrieren und Lösungen für ambulante Gesamtversorgung (inklusive somatisch) bei schwerem psychischen Leiden.</w:t>
      </w:r>
    </w:p>
    <w:p>
      <w:r>
        <w:rPr>
          <w:b/>
        </w:rPr>
        <w:t xml:space="preserve">Ergebnis: </w:t>
      </w:r>
      <w:r>
        <w:t>Menschen mit schwerem psychischem Leiden scheitern an allen Versorgungsphasen (Primär- bis Palliativ); Ursachen: Sektordenken, soziale Determinanten vergessen. Integrierte Modelle entstehen, aber langfristige reale Effekte untererforscht. Koordiation Sanitär-Sozial schwach, Nutzerpräferenzen zu wenig berücksichtigt.</w:t>
      </w:r>
    </w:p>
    <w:p>
      <w:r>
        <w:rPr>
          <w:b/>
          <w:sz w:val="19"/>
        </w:rPr>
        <w:t xml:space="preserve">Übertragbarkeit: </w:t>
      </w:r>
      <w:r>
        <w:rPr>
          <w:sz w:val="19"/>
        </w:rPr>
        <w:t>Frankreich, Narrative Synthesereview mit französischem Fokus, vergleichbar deutsches System</w:t>
      </w:r>
    </w:p>
    <w:p>
      <w:r>
        <w:rPr>
          <w:color w:val="5A7D3A"/>
          <w:sz w:val="18"/>
        </w:rPr>
        <w:t>https://pubmed.ncbi.nlm.nih.gov/42674984/</w:t>
      </w:r>
    </w:p>
    <w:p>
      <w:pPr>
        <w:pStyle w:val="Heading2"/>
      </w:pPr>
      <w:r>
        <w:t>Politiken zur psychischen Gesundheit ignorieren strukturelle Ungleichheit bei universellen Angeboten</w:t>
      </w:r>
    </w:p>
    <w:p>
      <w:r>
        <w:rPr>
          <w:i/>
          <w:color w:val="666666"/>
          <w:sz w:val="18"/>
        </w:rPr>
        <w:t>Gabet M et al.  ·  Sante Publique  ·  2026  ·  PMID 42674981</w:t>
      </w:r>
    </w:p>
    <w:p>
      <w:r>
        <w:t>Kanada/Québec: Normative Evaluierung von 3 Politiken mit EquiFrame-Tool (21 Equity-Konzepte), um zu prüfen, ob Ungleichheit adressiert wird.</w:t>
      </w:r>
    </w:p>
    <w:p>
      <w:r>
        <w:rPr>
          <w:b/>
        </w:rPr>
        <w:t xml:space="preserve">Ergebnis: </w:t>
      </w:r>
      <w:r>
        <w:t>Strategische Politiken decken mehr Equity-Konzepte ab als operative; aber Qualität (geplante Maßnahmen/Evaluation) schwach; Equity-deserving groups kaum genannt. Politiken behandeln Interventionen als universell, ohne unterschiedliche Zugangsfähigkeit berücksichtigen. Fragliche politische Absicht hinter Equity-Rhetorik.</w:t>
      </w:r>
    </w:p>
    <w:p>
      <w:r>
        <w:rPr>
          <w:b/>
          <w:sz w:val="19"/>
        </w:rPr>
        <w:t xml:space="preserve">Übertragbarkeit: </w:t>
      </w:r>
      <w:r>
        <w:rPr>
          <w:sz w:val="19"/>
        </w:rPr>
        <w:t>Kanada, aber Framework auf Deutschland übertragbar: zeigt systematische Blindheit gegenüber Ungleichheit</w:t>
      </w:r>
    </w:p>
    <w:p>
      <w:r>
        <w:rPr>
          <w:color w:val="5A7D3A"/>
          <w:sz w:val="18"/>
        </w:rPr>
        <w:t>https://pubmed.ncbi.nlm.nih.gov/42674981/</w:t>
      </w:r>
    </w:p>
    <w:p>
      <w:pPr>
        <w:pStyle w:val="Heading2"/>
      </w:pPr>
      <w:r>
        <w:t>Stigma und Krankheitseinsicht erschweren Forschung zu Bedürfnissen bei Psychose erheblich</w:t>
      </w:r>
    </w:p>
    <w:p>
      <w:r>
        <w:rPr>
          <w:i/>
          <w:color w:val="666666"/>
          <w:sz w:val="18"/>
        </w:rPr>
        <w:t>Claessens Z et al.  ·  Health Expect  ·  Okt. 2026  ·  PMID 42670826</w:t>
      </w:r>
    </w:p>
    <w:p>
      <w:r>
        <w:t>Belgien: Methodologische Pilotierung des NEED-Frameworks (Bedürfnisforschung) bei Psychosen; Beschreibung von Adaptationen für Population mit Stigmatisierung, diagnostischer Unsicherheit und kognitiven Einschränkungen.</w:t>
      </w:r>
    </w:p>
    <w:p>
      <w:r>
        <w:rPr>
          <w:b/>
        </w:rPr>
        <w:t xml:space="preserve">Ergebnis: </w:t>
      </w:r>
      <w:r>
        <w:t>Psychose-spezifische Herausforderungen: Stigma-Lücke zwischen klinischer Diagnose und Selbstidentifikation, begrenzte Krankheitseinsicht, Konzentrationsprobleme, Misstrauen. Adaptionen: breitere Kriterien, nicht-stigmatisierende Sprache, sensible Fragung, Proxy-Option, breite Rekrutierungskanäle mit Vor-Ort-Unterstützung.</w:t>
      </w:r>
    </w:p>
    <w:p>
      <w:r>
        <w:rPr>
          <w:b/>
          <w:sz w:val="19"/>
        </w:rPr>
        <w:t xml:space="preserve">Übertragbarkeit: </w:t>
      </w:r>
      <w:r>
        <w:rPr>
          <w:sz w:val="19"/>
        </w:rPr>
        <w:t>Belgien/Niederlande, vergleichbares europäisches System, methodische Lernpunkte für Deutschland</w:t>
      </w:r>
    </w:p>
    <w:p>
      <w:r>
        <w:rPr>
          <w:color w:val="5A7D3A"/>
          <w:sz w:val="18"/>
        </w:rPr>
        <w:t>https://pubmed.ncbi.nlm.nih.gov/42670826/</w:t>
      </w:r>
    </w:p>
    <w:p>
      <w:pPr>
        <w:pStyle w:val="Heading1"/>
      </w:pPr>
      <w:r>
        <w:t>Aufgenommen am 31.08.2026</w:t>
      </w:r>
    </w:p>
    <w:p>
      <w:pPr>
        <w:pStyle w:val="Heading2"/>
      </w:pPr>
      <w:r>
        <w:t>Intersektorale Versorgungskoordination für ältere Menschen mit kognitiven Störungen: Prozessevaluation aus Deutschland</w:t>
      </w:r>
    </w:p>
    <w:p>
      <w:r>
        <w:rPr>
          <w:i/>
          <w:color w:val="666666"/>
          <w:sz w:val="18"/>
        </w:rPr>
        <w:t>Chikhradze N et al.  ·  Trials  ·  29.08.2026  ·  PMID 42668367</w:t>
      </w:r>
    </w:p>
    <w:p>
      <w:r>
        <w:t>Prozessevaluation eines RCT, das ein intersektorales Care-Management-Modell mit Versorgungsmanagern und informationstechnischem System in drei deutschen Krankenhäusern implementierte.</w:t>
      </w:r>
    </w:p>
    <w:p>
      <w:r>
        <w:rPr>
          <w:b/>
        </w:rPr>
        <w:t xml:space="preserve">Ergebnis: </w:t>
      </w:r>
      <w:r>
        <w:t>Care Manager konnten Bedarfe nur teilweise erfassen und Koordination zwischen Akutklinik und Grundversorgung etablieren; rigide Alltagsroutinen und Zeitmangel behinderten die Zusammenarbeit zwischen den Versorgungssektoren erheblich.</w:t>
      </w:r>
    </w:p>
    <w:p>
      <w:r>
        <w:rPr>
          <w:b/>
          <w:sz w:val="19"/>
        </w:rPr>
        <w:t xml:space="preserve">Übertragbarkeit: </w:t>
      </w:r>
      <w:r>
        <w:rPr>
          <w:sz w:val="19"/>
        </w:rPr>
        <w:t>Deutschland – deutsche Studiendesign in Routineversorgung zweier Bundesländer</w:t>
      </w:r>
    </w:p>
    <w:p>
      <w:r>
        <w:rPr>
          <w:color w:val="5A7D3A"/>
          <w:sz w:val="18"/>
        </w:rPr>
        <w:t>https://pubmed.ncbi.nlm.nih.gov/42668367/</w:t>
      </w:r>
    </w:p>
    <w:p>
      <w:pPr>
        <w:pStyle w:val="Heading2"/>
      </w:pPr>
      <w:r>
        <w:t>Antipsychotische Dosis und Symptomreduktion bei Schizophrenie: Metaanalyse zeigt Plateaueffekte</w:t>
      </w:r>
    </w:p>
    <w:p>
      <w:r>
        <w:rPr>
          <w:i/>
          <w:color w:val="666666"/>
          <w:sz w:val="18"/>
        </w:rPr>
        <w:t>Lin X et al.  ·  Schizophr Bull  ·  20.08.2026  ·  PMID 42667248</w:t>
      </w:r>
    </w:p>
    <w:p>
      <w:r>
        <w:t>Metaanalyse von 165 Studien zur Dosis-Wirkungs-Beziehung von 21 Antipsychotika bei Positivsymptomen und Negativsymptomen in akuter Schizophrenie.</w:t>
      </w:r>
    </w:p>
    <w:p>
      <w:r>
        <w:rPr>
          <w:b/>
        </w:rPr>
        <w:t xml:space="preserve">Ergebnis: </w:t>
      </w:r>
      <w:r>
        <w:t>Die meisten Antipsychotika zeigen parallele Dosis-Wirkungs-Kurven mit kleinerem Effekt auf Negativsymptome (Ausnahme: partielle Dopaminagonisten). Beide Kurven plateauieren oder sinken nach einem Wendepunkt, was auf optimale Dosisbereichs hindeutet.</w:t>
      </w:r>
    </w:p>
    <w:p>
      <w:r>
        <w:rPr>
          <w:b/>
          <w:sz w:val="19"/>
        </w:rPr>
        <w:t xml:space="preserve">Übertragbarkeit: </w:t>
      </w:r>
      <w:r>
        <w:rPr>
          <w:sz w:val="19"/>
        </w:rPr>
        <w:t>Internationale Daten – wirksam für Dosierungsrichtlinien unabhängig vom System</w:t>
      </w:r>
    </w:p>
    <w:p>
      <w:r>
        <w:rPr>
          <w:color w:val="5A7D3A"/>
          <w:sz w:val="18"/>
        </w:rPr>
        <w:t>https://pubmed.ncbi.nlm.nih.gov/42667248/</w:t>
      </w:r>
    </w:p>
    <w:p>
      <w:pPr>
        <w:pStyle w:val="Heading2"/>
      </w:pPr>
      <w:r>
        <w:t>Online-EMDR für Trauma-Patienten wirksam: 71%-Erfolgsquote mit klinisch relevantem Effekt</w:t>
      </w:r>
    </w:p>
    <w:p>
      <w:r>
        <w:rPr>
          <w:i/>
          <w:color w:val="666666"/>
          <w:sz w:val="18"/>
        </w:rPr>
        <w:t>Kruisinga S et al.  ·  Eur J Psychotraumatol  ·  24.08.2026  ·  PMID 42635006</w:t>
      </w:r>
    </w:p>
    <w:p>
      <w:r>
        <w:t>Non-Concurrent-Multiple-Baseline-Studie mit 21 Erwachsenen (18–65 Jahre) mit PTSD aus multiplen Traumata, die 10 wöchentliche Online-EMDR-Sitzungen erhielten.</w:t>
      </w:r>
    </w:p>
    <w:p>
      <w:r>
        <w:rPr>
          <w:b/>
        </w:rPr>
        <w:t xml:space="preserve">Ergebnis: </w:t>
      </w:r>
      <w:r>
        <w:t>Visuelle Analyse und Improvement Rate Difference zeigten Wirksamkeit bei 15 von 21 Teilnehmern (71%). Mittlerer PCL-5-Rückgang von 23,6 Punkten (Cohen's d=1,34, 95%-KI: 0,74–1,93) nach Therapie; bei Follow-up 27,2 Punkte Rückgang (d=1,62, 95%-KI: 0,95–2,27) – klinisch relevanteAbnahme.</w:t>
      </w:r>
    </w:p>
    <w:p>
      <w:r>
        <w:rPr>
          <w:b/>
          <w:sz w:val="19"/>
        </w:rPr>
        <w:t xml:space="preserve">Übertragbarkeit: </w:t>
      </w:r>
      <w:r>
        <w:rPr>
          <w:sz w:val="19"/>
        </w:rPr>
        <w:t>Niederlande – vergleichbares europäisches Gesundheitssystem</w:t>
      </w:r>
    </w:p>
    <w:p>
      <w:r>
        <w:rPr>
          <w:color w:val="5A7D3A"/>
          <w:sz w:val="18"/>
        </w:rPr>
        <w:t>https://pubmed.ncbi.nlm.nih.gov/42635006/</w:t>
      </w:r>
    </w:p>
    <w:p>
      <w:pPr>
        <w:pStyle w:val="Heading2"/>
      </w:pPr>
      <w:r>
        <w:t>Kurze psychologische Interventionen für Persönlichkeitsstörungen: schwache Evidenz, aber Hinweise für frühe Intervention</w:t>
      </w:r>
    </w:p>
    <w:p>
      <w:r>
        <w:rPr>
          <w:i/>
          <w:color w:val="666666"/>
          <w:sz w:val="18"/>
        </w:rPr>
        <w:t>Williams R et al.  ·  Personal Ment Health  ·  Aug. 2026  ·  PMID 42608329</w:t>
      </w:r>
    </w:p>
    <w:p>
      <w:r>
        <w:t>Sekundäranalyse des SPS-Trial mit 336 Teilnehmern aus sieben NHS-Standorten in England zur Frage, welche Patienten von kurzer Structured Psychological Support (SPS) profitieren.</w:t>
      </w:r>
    </w:p>
    <w:p>
      <w:r>
        <w:rPr>
          <w:b/>
        </w:rPr>
        <w:t xml:space="preserve">Ergebnis: </w:t>
      </w:r>
      <w:r>
        <w:t>Keine starken Hinweise auf Moderation durch Persönlichkeitsfunktionalität oder Therapiesequenzierung. Schwache Evidenz, dass SPS bei emotionaler Dysregulation bei Patienten mit niedrigerem Persönlichkeitsdysfunktionsniveau vorteilhaft ist; bei kürzerer Vorbehandlungsdauer auch Verbesserung der Sozialfunktionalität. Hinweis auf Rolle bei Früherkennung oder milder Persönlichkeitsstörung.</w:t>
      </w:r>
    </w:p>
    <w:p>
      <w:r>
        <w:rPr>
          <w:b/>
          <w:sz w:val="19"/>
        </w:rPr>
        <w:t xml:space="preserve">Übertragbarkeit: </w:t>
      </w:r>
      <w:r>
        <w:rPr>
          <w:sz w:val="19"/>
        </w:rPr>
        <w:t>Großbritannien – englisches NHS-System, Versorgungsforschung</w:t>
      </w:r>
    </w:p>
    <w:p>
      <w:r>
        <w:rPr>
          <w:color w:val="5A7D3A"/>
          <w:sz w:val="18"/>
        </w:rPr>
        <w:t>https://pubmed.ncbi.nlm.nih.gov/42608329/</w:t>
      </w:r>
    </w:p>
    <w:p>
      <w:pPr>
        <w:pStyle w:val="Heading2"/>
      </w:pPr>
      <w:r>
        <w:t>Psychosoziale Interventionen durch Nicht-Spezialist*innen: Soziale Unterstützung und Verhaltensaktivierung am wirksamsten</w:t>
      </w:r>
    </w:p>
    <w:p>
      <w:r>
        <w:rPr>
          <w:i/>
          <w:color w:val="666666"/>
          <w:sz w:val="18"/>
        </w:rPr>
        <w:t>Papola D et al.  ·  Lancet Psychiatry  ·  03.08.2026  ·  PMID 42546730</w:t>
      </w:r>
    </w:p>
    <w:p>
      <w:r>
        <w:t>Bayessche Komponenten-Netzwerk-Metaanalyse von 34 RCT (30 mit Individualdaten von 10.612 Personen) zur Identifikation der wirksamsten Elemente von Task-Shared-Psychotherapien für Depression und Angststörungen.</w:t>
      </w:r>
    </w:p>
    <w:p>
      <w:r>
        <w:rPr>
          <w:b/>
        </w:rPr>
        <w:t xml:space="preserve">Ergebnis: </w:t>
      </w:r>
      <w:r>
        <w:t>Stärkung sozialer Unterstützung (inkrementelle Reduktion −9,48 auf Symptomskala), Verhaltensaktivierung (−4,15) und Problemlösung (−4,08) waren die vorteilhaftesten Komponenten. Relaxation (+7,97) und kognitives Reframing (+5,17) zeigten unerwartete nachteilige Effekte. Effekte variierten systematisch nach Ausgangsschweregrad und Merkmalen.</w:t>
      </w:r>
    </w:p>
    <w:p>
      <w:r>
        <w:rPr>
          <w:b/>
          <w:sz w:val="19"/>
        </w:rPr>
        <w:t xml:space="preserve">Übertragbarkeit: </w:t>
      </w:r>
      <w:r>
        <w:rPr>
          <w:sz w:val="19"/>
        </w:rPr>
        <w:t>Europäische und globale Daten – übertragbar auf deutsches Primärversorgungssystem</w:t>
      </w:r>
    </w:p>
    <w:p>
      <w:r>
        <w:rPr>
          <w:color w:val="5A7D3A"/>
          <w:sz w:val="18"/>
        </w:rPr>
        <w:t>https://pubmed.ncbi.nlm.nih.gov/42546730/</w:t>
      </w:r>
    </w:p>
    <w:p>
      <w:pPr>
        <w:pStyle w:val="Heading2"/>
      </w:pPr>
      <w:r>
        <w:t>Home Treatment für Kinder und Jugendliche ist kosteneffektiver als stationäre Behandlung</w:t>
      </w:r>
    </w:p>
    <w:p>
      <w:r>
        <w:rPr>
          <w:i/>
          <w:color w:val="666666"/>
          <w:sz w:val="18"/>
        </w:rPr>
        <w:t>Graf D et al.  ·  Swiss Med Wkly  ·  29.06.2026  ·  PMID 42537634</w:t>
      </w:r>
    </w:p>
    <w:p>
      <w:r>
        <w:t>Pilotversuch mit 75 Kindern und Jugendlichen (6–17 Jahre) mit akuten psychiatrischen Störungen: Vergleich zwischen intensivem Home Treatment (n=27) und Regelbehandlung stationär (n=48).</w:t>
      </w:r>
    </w:p>
    <w:p>
      <w:r>
        <w:rPr>
          <w:b/>
        </w:rPr>
        <w:t xml:space="preserve">Ergebnis: </w:t>
      </w:r>
      <w:r>
        <w:t>Home Treatment zeigte Kosteneinsparungen von CHF 48.591 (95%-KI: −108.493 bis 11.312) mit besseren Funktionsergebnissen (GAF-Verbesserung 9,41 Punkte). CEAC deutete 94,6%-ige Wahrscheinlichkeit der Kosteneffektivität an. Beide Gruppen erreichten Symptomreduktion, aber mit Home Treatment bessere Effizienz.</w:t>
      </w:r>
    </w:p>
    <w:p>
      <w:r>
        <w:rPr>
          <w:b/>
          <w:sz w:val="19"/>
        </w:rPr>
        <w:t xml:space="preserve">Übertragbarkeit: </w:t>
      </w:r>
      <w:r>
        <w:rPr>
          <w:sz w:val="19"/>
        </w:rPr>
        <w:t>Schweiz – vergleichbares Versicherungssystem, Kostenträgerperspektive</w:t>
      </w:r>
    </w:p>
    <w:p>
      <w:r>
        <w:rPr>
          <w:color w:val="5A7D3A"/>
          <w:sz w:val="18"/>
        </w:rPr>
        <w:t>https://pubmed.ncbi.nlm.nih.gov/42537634/</w:t>
      </w:r>
    </w:p>
    <w:p>
      <w:pPr>
        <w:pStyle w:val="Heading1"/>
      </w:pPr>
      <w:r>
        <w:t>Aufgenommen am 30.08.2026</w:t>
      </w:r>
    </w:p>
    <w:p>
      <w:pPr>
        <w:pStyle w:val="Heading2"/>
      </w:pPr>
      <w:r>
        <w:t>Schizophrenia mit verzögerter Diabetesbehandlung verringert Überlebenschancen</w:t>
      </w:r>
    </w:p>
    <w:p>
      <w:r>
        <w:rPr>
          <w:i/>
          <w:color w:val="666666"/>
          <w:sz w:val="18"/>
        </w:rPr>
        <w:t>Rohde C et al.  ·  Schizophr Bull  ·  20.08.2026  ·  PMID 42667247</w:t>
      </w:r>
    </w:p>
    <w:p>
      <w:r>
        <w:t>Register-Studie aus Dänemark zu Verzögerungen bei der Einleitung von Glukose-senkender Therapie bei Personen mit Schizophrenie nach Erkennung erhöhter Glukosewerte.</w:t>
      </w:r>
    </w:p>
    <w:p>
      <w:r>
        <w:rPr>
          <w:b/>
        </w:rPr>
        <w:t xml:space="preserve">Ergebnis: </w:t>
      </w:r>
      <w:r>
        <w:t>Bei 1527 Personen mit Schizophrenie verzögerte sich die Einleitung der Diabetes-Behandlung um 12 % (HRR = 0,88; KI 0,81–0,94) versus 7492 Kontrollen. Der Effekt war stärker bei Männern (HRR = 0,82) als bei Frauen (HRR = 0,99), und die HbA1c-Werte sanken langsamer. Die Verzögerung deutet auf eine Versorgungslücke im Schnittstellenmanagement hin.</w:t>
      </w:r>
    </w:p>
    <w:p>
      <w:r>
        <w:rPr>
          <w:b/>
          <w:sz w:val="19"/>
        </w:rPr>
        <w:t xml:space="preserve">Übertragbarkeit: </w:t>
      </w:r>
      <w:r>
        <w:rPr>
          <w:sz w:val="19"/>
        </w:rPr>
        <w:t>Dänische Registerdaten, vergleichbares Gesundheitssystem</w:t>
      </w:r>
    </w:p>
    <w:p>
      <w:r>
        <w:rPr>
          <w:color w:val="5A7D3A"/>
          <w:sz w:val="18"/>
        </w:rPr>
        <w:t>https://pubmed.ncbi.nlm.nih.gov/42667247/</w:t>
      </w:r>
    </w:p>
    <w:p>
      <w:pPr>
        <w:pStyle w:val="Heading2"/>
      </w:pPr>
      <w:r>
        <w:t>Metacognitive Training reduziert Negativsymptome in Schizophrenie-Pilot</w:t>
      </w:r>
    </w:p>
    <w:p>
      <w:r>
        <w:rPr>
          <w:i/>
          <w:color w:val="666666"/>
          <w:sz w:val="18"/>
        </w:rPr>
        <w:t>Swanson L et al.  ·  Trials  ·  28.08.2026  ·  PMID 42665851</w:t>
      </w:r>
    </w:p>
    <w:p>
      <w:r>
        <w:t>Protokoll für pragmatische RCT von MCT-Minus versus Supportive Counselling bei 90 Personen mit Psychosen zur Reduktion von Negativsymptomen, Stigma und Verbesserung der Metakognition.</w:t>
      </w:r>
    </w:p>
    <w:p>
      <w:r>
        <w:rPr>
          <w:b/>
        </w:rPr>
        <w:t xml:space="preserve">Ergebnis: </w:t>
      </w:r>
      <w:r>
        <w:t>Studienprotokoll beschreibt das Design (90 Teilnehmer, randomisiert zu MCT-Minus oder SC, primärer Endpunkt: Negativsymptome CAINS). Pilotdaten deuteten auf Symptomreduktion durch verbesserte Reflexionsfähigkeit und reduzierte wahrgenommene Stigmatisierung hin; Hauptstudie soll Effektivität und Mechanismen prüfen.</w:t>
      </w:r>
    </w:p>
    <w:p>
      <w:r>
        <w:rPr>
          <w:b/>
          <w:sz w:val="19"/>
        </w:rPr>
        <w:t xml:space="preserve">Übertragbarkeit: </w:t>
      </w:r>
      <w:r>
        <w:rPr>
          <w:sz w:val="19"/>
        </w:rPr>
        <w:t>Schweden, vergleichbares Versicherungssystem</w:t>
      </w:r>
    </w:p>
    <w:p>
      <w:r>
        <w:rPr>
          <w:color w:val="5A7D3A"/>
          <w:sz w:val="18"/>
        </w:rPr>
        <w:t>https://pubmed.ncbi.nlm.nih.gov/42665851/</w:t>
      </w:r>
    </w:p>
    <w:p>
      <w:pPr>
        <w:pStyle w:val="Heading2"/>
      </w:pPr>
      <w:r>
        <w:t>Ethische Konflikte beim Opioid-Diversion in Kliniken erkennen und bewältigen</w:t>
      </w:r>
    </w:p>
    <w:p>
      <w:r>
        <w:rPr>
          <w:i/>
          <w:color w:val="666666"/>
          <w:sz w:val="18"/>
        </w:rPr>
        <w:t>Binder A et al.  ·  BMC Med Ethics  ·  28.08.2026  ·  PMID 42665829</w:t>
      </w:r>
    </w:p>
    <w:p>
      <w:r>
        <w:t>Multinationaler qualitativer Studienprotokoll zu ethischen Konflikten von Gesundheitsfachpersonen bei Opioid-Diversion mittels semi-strukturierter Interviews und reflexiver thematischer Analyse.</w:t>
      </w:r>
    </w:p>
    <w:p>
      <w:r>
        <w:rPr>
          <w:b/>
        </w:rPr>
        <w:t xml:space="preserve">Ergebnis: </w:t>
      </w:r>
      <w:r>
        <w:t>Protokoll definiert Studie mit Fokus auf moralische Dilemmata, Barrieren zum Suchen von Hilfe und Unterschiede zwischen Gesundheitssystemen. Ziel: Stigma abbau und ethisch geleitete Schadensminderungsstrategien entwickeln sowie Unterstützungsstrukturen für betroffene Fachpersonen schaffen.</w:t>
      </w:r>
    </w:p>
    <w:p>
      <w:r>
        <w:rPr>
          <w:b/>
          <w:sz w:val="19"/>
        </w:rPr>
        <w:t xml:space="preserve">Übertragbarkeit: </w:t>
      </w:r>
      <w:r>
        <w:rPr>
          <w:sz w:val="19"/>
        </w:rPr>
        <w:t>Deutschland, international vergleichbar, Systemübergreifende Perspektive</w:t>
      </w:r>
    </w:p>
    <w:p>
      <w:r>
        <w:rPr>
          <w:color w:val="5A7D3A"/>
          <w:sz w:val="18"/>
        </w:rPr>
        <w:t>https://pubmed.ncbi.nlm.nih.gov/42665829/</w:t>
      </w:r>
    </w:p>
    <w:p>
      <w:pPr>
        <w:pStyle w:val="Heading2"/>
      </w:pPr>
      <w:r>
        <w:t>Schulkinder mit schlechter psychischer Gesundheit brauchen mehr schulische Unterstützung</w:t>
      </w:r>
    </w:p>
    <w:p>
      <w:r>
        <w:rPr>
          <w:i/>
          <w:color w:val="666666"/>
          <w:sz w:val="18"/>
        </w:rPr>
        <w:t>Albers PN et al.  ·  PLoS One  ·  28.08.2026  ·  PMID 42664181</w:t>
      </w:r>
    </w:p>
    <w:p>
      <w:r>
        <w:t>Querschnittsstudie zu psychischer Gesundheit und Schulanbindung bei 5193 Schülern (12–15 Jahre) in Großbritannien zur Identifizierung von Interventionsbereichen.</w:t>
      </w:r>
    </w:p>
    <w:p>
      <w:r>
        <w:rPr>
          <w:b/>
        </w:rPr>
        <w:t xml:space="preserve">Ergebnis: </w:t>
      </w:r>
      <w:r>
        <w:t>40 % berichteten niedrige Lebenszufriedenheit, 33 % schwere depressive Symptome, nur 47 % gefühlszugehörigkeit zu Schule. Mädchen zeigten 3,27-fach höhere Depression als Jungen (KI 2,84–3,76), Nicht-Binäre am schlechtesten. Schulbelastung war stärkster Risikofaktor (AOR Depression 4,53; KI 3,40–6,08).</w:t>
      </w:r>
    </w:p>
    <w:p>
      <w:r>
        <w:rPr>
          <w:b/>
          <w:sz w:val="19"/>
        </w:rPr>
        <w:t xml:space="preserve">Übertragbarkeit: </w:t>
      </w:r>
      <w:r>
        <w:rPr>
          <w:sz w:val="19"/>
        </w:rPr>
        <w:t>UK-Schuldaten, ähnliche Versorgungsherausforderungen wie Deutschland</w:t>
      </w:r>
    </w:p>
    <w:p>
      <w:r>
        <w:rPr>
          <w:color w:val="5A7D3A"/>
          <w:sz w:val="18"/>
        </w:rPr>
        <w:t>https://pubmed.ncbi.nlm.nih.gov/42664181/</w:t>
      </w:r>
    </w:p>
    <w:p>
      <w:pPr>
        <w:pStyle w:val="Heading2"/>
      </w:pPr>
      <w:r>
        <w:t>EMDR-Therapie für Kinder im Krieg zeigt große Symptomreduktion</w:t>
      </w:r>
    </w:p>
    <w:p>
      <w:r>
        <w:rPr>
          <w:i/>
          <w:color w:val="666666"/>
          <w:sz w:val="18"/>
        </w:rPr>
        <w:t>Beer R et al.  ·  Eur J Psychotraumatol  ·  24.08.2026  ·  PMID 42635370</w:t>
      </w:r>
    </w:p>
    <w:p>
      <w:r>
        <w:t>Evaluation von EMDR-Therapie für Kinder und Jugendliche in der Ukraine während des laufenden Krieges zur Reduktion von PTBS-Symptomen.</w:t>
      </w:r>
    </w:p>
    <w:p>
      <w:r>
        <w:rPr>
          <w:b/>
        </w:rPr>
        <w:t xml:space="preserve">Ergebnis: </w:t>
      </w:r>
      <w:r>
        <w:t>151 Kinder und Jugendliche (Alter 1–17 Jahre) zeigten nach EMDR signifikante Reduktionen der PTBS-Symptome mit großen Effektstärken (DSM-5: d = 1,83 Selbstbericht, d = 1,93 Elternbericht; ICD-11 komplexe PTBS: d = 1,63–1,74). Effekte blieben in Folgemessungen bestehen.</w:t>
      </w:r>
    </w:p>
    <w:p>
      <w:r>
        <w:rPr>
          <w:b/>
          <w:sz w:val="19"/>
        </w:rPr>
        <w:t xml:space="preserve">Übertragbarkeit: </w:t>
      </w:r>
      <w:r>
        <w:rPr>
          <w:sz w:val="19"/>
        </w:rPr>
        <w:t>Ukraine unter Kriegsbedingungen, externe Validität begrenzt auf Krisen-Settings</w:t>
      </w:r>
    </w:p>
    <w:p>
      <w:r>
        <w:rPr>
          <w:color w:val="5A7D3A"/>
          <w:sz w:val="18"/>
        </w:rPr>
        <w:t>https://pubmed.ncbi.nlm.nih.gov/42635370/</w:t>
      </w:r>
    </w:p>
    <w:p>
      <w:pPr>
        <w:pStyle w:val="Heading2"/>
      </w:pPr>
      <w:r>
        <w:t>Dementia Villages stärken Person-Centered Care durch Erinnerungen und Aktivitäten</w:t>
      </w:r>
    </w:p>
    <w:p>
      <w:r>
        <w:rPr>
          <w:i/>
          <w:color w:val="666666"/>
          <w:sz w:val="18"/>
        </w:rPr>
        <w:t>Readman MR et al.  ·  Health Expect  ·  Aug. 2026  ·  PMID 42578502</w:t>
      </w:r>
    </w:p>
    <w:p>
      <w:r>
        <w:t>Qualitative Studie zu Auswirkungen des UK's ersten Day-Center Dementia Village auf Erfahrungen von Personen mit Demenz und Personal, basierend auf 22 semi-strukturierten Interviews.</w:t>
      </w:r>
    </w:p>
    <w:p>
      <w:r>
        <w:rPr>
          <w:b/>
        </w:rPr>
        <w:t xml:space="preserve">Ergebnis: </w:t>
      </w:r>
      <w:r>
        <w:t>Drei zentrale Themen: (1) Sehen der Person dahinter, (2) bedeutungsvolle Aktivität und Engagement, (3) Faktoren der Beteiligung. Personal und Betroffene berichteten von erhöhter Personenorientierung, besserer Identitätsanerkennung und maßgeschneiderter Aktivitäten; Wirksamkeit hängt von individueller Anpassung und Ressourcen ab.</w:t>
      </w:r>
    </w:p>
    <w:p>
      <w:r>
        <w:rPr>
          <w:b/>
          <w:sz w:val="19"/>
        </w:rPr>
        <w:t xml:space="preserve">Übertragbarkeit: </w:t>
      </w:r>
      <w:r>
        <w:rPr>
          <w:sz w:val="19"/>
        </w:rPr>
        <w:t>UK, übertragbar auf deutsche Tagesstrukturen in der Demenzversorgung</w:t>
      </w:r>
    </w:p>
    <w:p>
      <w:r>
        <w:rPr>
          <w:color w:val="5A7D3A"/>
          <w:sz w:val="18"/>
        </w:rPr>
        <w:t>https://pubmed.ncbi.nlm.nih.gov/42578502/</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2026-09-04T06:00:00Z</dcterms:created>
  <dcterms:modified xsi:type="dcterms:W3CDTF">2026-09-04T06:00:00Z</dcterms:modified>
  <cp:category/>
</cp:coreProperties>
</file>