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24.10.2026  |  366 Studien  |  mental.m-vf.de</w:t>
      </w:r>
    </w:p>
    <w:p>
      <w:pPr>
        <w:pStyle w:val="Heading1"/>
      </w:pPr>
      <w:r>
        <w:t>Aufgenommen am 24.10.2026</w:t>
      </w:r>
    </w:p>
    <w:p>
      <w:pPr>
        <w:pStyle w:val="Heading2"/>
      </w:pPr>
      <w:r>
        <w:t>Eltern von depressiven Jugendlichen: Geringes Wissen, negative Einstellungen, moderate Praxis</w:t>
      </w:r>
    </w:p>
    <w:p>
      <w:r>
        <w:rPr>
          <w:i/>
          <w:color w:val="666666"/>
          <w:sz w:val="18"/>
        </w:rPr>
        <w:t>Zhang Y et al.  ·  BMC Psychiatry  ·  25.07.2026  ·  PMID 42919256</w:t>
      </w:r>
    </w:p>
    <w:p>
      <w:r>
        <w:t>Querschnittstudie mit 138 Eltern von hospitalisierten Jugendlichen mit Depression (Dezember 2023–September 2024) zu depression-bezogenem Wissen, Einstellungen und Praktiken (KAP) mittels 25-Item-Fragebogen (10 Wissen, 9 Einstellungen, 6 Praktiken).</w:t>
      </w:r>
    </w:p>
    <w:p>
      <w:r>
        <w:rPr>
          <w:b/>
        </w:rPr>
        <w:t xml:space="preserve">Ergebnis: </w:t>
      </w:r>
      <w:r>
        <w:t>Standardisierte Werte (0–100): Wissen 54,33±13,59; Einstellungen 59,29±10,93; Praktiken 73,77±12,20; gesamt 60,78±7,46. Wissen, Einstellungen und Gesamtwert unterschieden sich nach Alter, Beruf und Bildung. In Multivariaten Modellen: Alter, Beruf, Bildung und Einkommen unabhängig mit KAP-Gesamtwert assoziiert (alle p&lt;0,05). Eltern zeigten begrenzte Krankheits-Wissensvermittlung, komparativ negative Einstellungen und moderate Praktiken.</w:t>
      </w:r>
    </w:p>
    <w:p>
      <w:r>
        <w:rPr>
          <w:b/>
          <w:sz w:val="19"/>
        </w:rPr>
        <w:t xml:space="preserve">Übertragbarkeit: </w:t>
      </w:r>
      <w:r>
        <w:rPr>
          <w:sz w:val="19"/>
        </w:rPr>
        <w:t>China, Eltern-Psychoedukation; zeigt Wissenslücken in Elternschaft—relevant für deutsche Maßnahmen bei Jugendlichendepression und Angehörigenbegleitung.</w:t>
      </w:r>
    </w:p>
    <w:p>
      <w:r>
        <w:rPr>
          <w:color w:val="5A7D3A"/>
          <w:sz w:val="18"/>
        </w:rPr>
        <w:t>https://pubmed.ncbi.nlm.nih.gov/42919256/</w:t>
      </w:r>
    </w:p>
    <w:p>
      <w:pPr>
        <w:pStyle w:val="Heading2"/>
      </w:pPr>
      <w:r>
        <w:t>Schulen und Systembrüche: Haupthindernisse für psychosoziale Versorgung von Jugendlichen</w:t>
      </w:r>
    </w:p>
    <w:p>
      <w:r>
        <w:rPr>
          <w:i/>
          <w:color w:val="666666"/>
          <w:sz w:val="18"/>
        </w:rPr>
        <w:t>Paclikova K et al.  ·  Int J Public Health  ·  07.10.2026  ·  PMID 42908673</w:t>
      </w:r>
    </w:p>
    <w:p>
      <w:r>
        <w:t>Konzept-Mapping-Studie mit 33 Fachpersonen aus Tschechien und der Slowakei identifizierte dringende, aber schwer umsetzbare Verbesserungen in der psychosozialen Versorgung von Jugendlichen mit emotionalen und Verhaltensproblemen.</w:t>
      </w:r>
    </w:p>
    <w:p>
      <w:r>
        <w:rPr>
          <w:b/>
        </w:rPr>
        <w:t xml:space="preserve">Ergebnis: </w:t>
      </w:r>
      <w:r>
        <w:t>43 Maßnahmen wurden in 5 Cluster kategorisiert; 13 Maßnahmen als hochdringlich, aber nicht umsetzbar eingestuft. Die meisten betrafen Schulsystemänderungen (Cluster 1), Verbesserung der Systemtransparenz und -funktionalität (Cluster 2) sowie gesetzliche Bedingungen. Hauptbarrieren waren Personalkapazität, Fragmentierung der Versorgung und mangelnde Schulkoordination.</w:t>
      </w:r>
    </w:p>
    <w:p>
      <w:r>
        <w:rPr>
          <w:b/>
          <w:sz w:val="19"/>
        </w:rPr>
        <w:t xml:space="preserve">Übertragbarkeit: </w:t>
      </w:r>
      <w:r>
        <w:rPr>
          <w:sz w:val="19"/>
        </w:rPr>
        <w:t>Europäisches System mit vergleichbarer psychiatrischer Infrastruktur und Finanzierung; Erkenntnisse zur Systemfragmentierung übertragbar auf Deutschland.</w:t>
      </w:r>
    </w:p>
    <w:p>
      <w:r>
        <w:rPr>
          <w:color w:val="5A7D3A"/>
          <w:sz w:val="18"/>
        </w:rPr>
        <w:t>https://pubmed.ncbi.nlm.nih.gov/42908673/</w:t>
      </w:r>
    </w:p>
    <w:p>
      <w:pPr>
        <w:pStyle w:val="Heading2"/>
      </w:pPr>
      <w:r>
        <w:t>Progressive Muskelrelaxation reduzierte Traumasymptome nach Erdbeben deutlich</w:t>
      </w:r>
    </w:p>
    <w:p>
      <w:r>
        <w:rPr>
          <w:i/>
          <w:color w:val="666666"/>
          <w:sz w:val="18"/>
        </w:rPr>
        <w:t>Karadaşlı T et al.  ·  BMC Psychiatry  ·  19.09.2026  ·  PMID 42907791</w:t>
      </w:r>
    </w:p>
    <w:p>
      <w:r>
        <w:t>Randomisierte kontrollierte Studie mit 44 Erdbebenüberlebenden (n=22 je Gruppe) zur Wirksamkeit von Progressive-Muskelrelaxations-Training (PMRT) via Telerehabilitation bei PTBS nach dem Kahramanmaraş-Erdbeben 2023.</w:t>
      </w:r>
    </w:p>
    <w:p>
      <w:r>
        <w:rPr>
          <w:b/>
        </w:rPr>
        <w:t xml:space="preserve">Ergebnis: </w:t>
      </w:r>
      <w:r>
        <w:t>PMRT-Gruppe: PTBS-Symptomeschwere signifikant gesunken (p&lt;0,001; η²p=0,735). Verbesserungen auch bei Depression (η²p=0,435), Angst (η²p=0,521), Stress (η²p=0,504), Schlafqualität (η²p=0,632), körperliche (η²p=0,727) und mentale Lebensqualität (η²p=0,630) vs. Kontrolle. Kontrollgruppe: keine Verbesserungen, Schlaf und körperliche Gesundheit verschlechtert sich.</w:t>
      </w:r>
    </w:p>
    <w:p>
      <w:r>
        <w:rPr>
          <w:b/>
          <w:sz w:val="19"/>
        </w:rPr>
        <w:t xml:space="preserve">Übertragbarkeit: </w:t>
      </w:r>
      <w:r>
        <w:rPr>
          <w:sz w:val="19"/>
        </w:rPr>
        <w:t>Türkei, Nachbarland mit ähnlichen Traumatisierungsszenarien; Telerehabilitation übertragbar auf deutsche Strukturen bei Krisensituationen.</w:t>
      </w:r>
    </w:p>
    <w:p>
      <w:r>
        <w:rPr>
          <w:color w:val="5A7D3A"/>
          <w:sz w:val="18"/>
        </w:rPr>
        <w:t>https://pubmed.ncbi.nlm.nih.gov/42907791/</w:t>
      </w:r>
    </w:p>
    <w:p>
      <w:pPr>
        <w:pStyle w:val="Heading2"/>
      </w:pPr>
      <w:r>
        <w:t>Europäische Psychiater: Psychosoziale Interventionen bei bipolarer Störung untergenutzt</w:t>
      </w:r>
    </w:p>
    <w:p>
      <w:r>
        <w:rPr>
          <w:i/>
          <w:color w:val="666666"/>
          <w:sz w:val="18"/>
        </w:rPr>
        <w:t>Sani G et al.  ·  Eur Psychiatry  ·  21.10.2026  ·  PMID 42904336</w:t>
      </w:r>
    </w:p>
    <w:p>
      <w:r>
        <w:t>Querschnittstudie mit 654 Psychiatern und Assistenzärzten aus 40 europäischen Ländern zur Behandlungspräferenz bei bipolarer Störung.</w:t>
      </w:r>
    </w:p>
    <w:p>
      <w:r>
        <w:rPr>
          <w:b/>
        </w:rPr>
        <w:t xml:space="preserve">Ergebnis: </w:t>
      </w:r>
      <w:r>
        <w:t>Mehrheit bevorzugte Pharmakotherapie als Kombination von zwei bis drei Wirkstoffen; Lithium am häufigsten in allen Krankheitsphasen. Psychosoziale Interventionen nicht systematisch implementiert, besonders bei manischen und gemischten Episoden. Latent-Class-Analyse identifizierte vier unterschiedliche Verschreibungsprofile. Psychoedukation und kognitiv-behaviorale Therapie in bis zu 40 % der depressiven Phase empfohlen.</w:t>
      </w:r>
    </w:p>
    <w:p>
      <w:r>
        <w:rPr>
          <w:b/>
          <w:sz w:val="19"/>
        </w:rPr>
        <w:t xml:space="preserve">Übertragbarkeit: </w:t>
      </w:r>
      <w:r>
        <w:rPr>
          <w:sz w:val="19"/>
        </w:rPr>
        <w:t>40 europäische Länder, hohe Vergleichbarkeit zur deutschen Psychiatrie; zeigt Implementierungslücke bei evidenzgestützten Richtlinien.</w:t>
      </w:r>
    </w:p>
    <w:p>
      <w:r>
        <w:rPr>
          <w:color w:val="5A7D3A"/>
          <w:sz w:val="18"/>
        </w:rPr>
        <w:t>https://pubmed.ncbi.nlm.nih.gov/42904336/</w:t>
      </w:r>
    </w:p>
    <w:p>
      <w:pPr>
        <w:pStyle w:val="Heading2"/>
      </w:pPr>
      <w:r>
        <w:t>Stadtinfrastruktur Busse: Ressource für Genesung von Psychose im urbanen Alltag</w:t>
      </w:r>
    </w:p>
    <w:p>
      <w:r>
        <w:rPr>
          <w:i/>
          <w:color w:val="666666"/>
          <w:sz w:val="18"/>
        </w:rPr>
        <w:t>Winz M et al.  ·  Sociol Health Illn  ·  Nov. 2026  ·  PMID 42899344</w:t>
      </w:r>
    </w:p>
    <w:p>
      <w:r>
        <w:t>Qualitative geografische Studie mit jungen Menschen in Genesung von Früh-Psychose (Lausanne, Schweiz) zur Rolle von Businfrastruktur als Ressource oder Hindernis für Recovery, Autonomie und Stadtbeteiligung.</w:t>
      </w:r>
    </w:p>
    <w:p>
      <w:r>
        <w:rPr>
          <w:b/>
        </w:rPr>
        <w:t xml:space="preserve">Ergebnis: </w:t>
      </w:r>
      <w:r>
        <w:t>Busse fungieren als affektive Rettungsleinen, Autonomie-Anker und Gateways zu formalen/informalen Wellbeing-Ressourcen; unterstützen Recovery und Wiederengagement mit der Stadt. Gleichzeitig: Sinnesüberstimulation, Nähe zu anderen, Angst vor Überwachung, finanzielle Barrieren. Mobilität durch Begegnungen mit urbaner Infrastruktur relational konstituiert—Busse können Kapazitäten zur Stadtbeteiligung kultivieren oder unterminieren.</w:t>
      </w:r>
    </w:p>
    <w:p>
      <w:r>
        <w:rPr>
          <w:b/>
          <w:sz w:val="19"/>
        </w:rPr>
        <w:t xml:space="preserve">Übertragbarkeit: </w:t>
      </w:r>
      <w:r>
        <w:rPr>
          <w:sz w:val="19"/>
        </w:rPr>
        <w:t>Schweiz, vergleichbares Versicherungssystem; konzeptualisiert Mobility als Versorgungsfaktor—relevant für deutsche Community-Psychiatrie und urbane Gesundheitsplanung.</w:t>
      </w:r>
    </w:p>
    <w:p>
      <w:r>
        <w:rPr>
          <w:color w:val="5A7D3A"/>
          <w:sz w:val="18"/>
        </w:rPr>
        <w:t>https://pubmed.ncbi.nlm.nih.gov/42899344/</w:t>
      </w:r>
    </w:p>
    <w:p>
      <w:pPr>
        <w:pStyle w:val="Heading2"/>
      </w:pPr>
      <w:r>
        <w:t>Deutsche Kohortenstudie: Luftverschmutzung und Hitze erhöhen Depressionsrisiko</w:t>
      </w:r>
    </w:p>
    <w:p>
      <w:r>
        <w:rPr>
          <w:i/>
          <w:color w:val="666666"/>
          <w:sz w:val="18"/>
        </w:rPr>
        <w:t>Wang Y et al.  ·  Environ Int  ·  27.09.2026  ·  PMID 42810139</w:t>
      </w:r>
    </w:p>
    <w:p>
      <w:r>
        <w:t>Längsschnittanalyse von über 70.000 erwachsenen Deutschen (Baseline 2014–2019, Follow-up 2020, 2022) zu Assoziationen zwischen Umweltexpositionen (Luftqualität, Temperatur, Grünflächenanteil) und Depressivität, Angst, Stress.</w:t>
      </w:r>
    </w:p>
    <w:p>
      <w:r>
        <w:rPr>
          <w:b/>
        </w:rPr>
        <w:t xml:space="preserve">Ergebnis: </w:t>
      </w:r>
      <w:r>
        <w:t>Höhere Lufttemperatur pro IQR assoziiert mit höherer Depressivität (β=0,07, 95%-KI 0,03–0,12), Angst (β=0,05, 95%-KI 0,01–0,09) und Stress (β=0,05, 95%-KI 0,01–0,09). NO₂-Exposition assoziiert mit höherer Depressivität (β=0,08, 95%-KI 0,03–0,14). Höhere Bevölkerungsdichte (100m-Radius) mit höherer Depressivität, Angst, Stress. Höhere Grünflächen, Niederschlag und relative Feuchte mit niedrigerer Depressivität. Stärkere Effekte bei Frauen, jüngeren Erwachsenen, Adipösen und in Städten.</w:t>
      </w:r>
    </w:p>
    <w:p>
      <w:r>
        <w:rPr>
          <w:b/>
          <w:sz w:val="19"/>
        </w:rPr>
        <w:t xml:space="preserve">Übertragbarkeit: </w:t>
      </w:r>
      <w:r>
        <w:rPr>
          <w:sz w:val="19"/>
        </w:rPr>
        <w:t>Deutsche Nationale Kohorte (NAKO), nationale Datengrundlage; unmittelbar auf deutsche Versorgungsplanung und Präventionsmaßnahmen anwendbar.</w:t>
      </w:r>
    </w:p>
    <w:p>
      <w:r>
        <w:rPr>
          <w:color w:val="5A7D3A"/>
          <w:sz w:val="18"/>
        </w:rPr>
        <w:t>https://pubmed.ncbi.nlm.nih.gov/42810139/</w:t>
      </w:r>
    </w:p>
    <w:p>
      <w:pPr>
        <w:pStyle w:val="Heading1"/>
      </w:pPr>
      <w:r>
        <w:t>Aufgenommen am 23.10.2026</w:t>
      </w:r>
    </w:p>
    <w:p>
      <w:pPr>
        <w:pStyle w:val="Heading2"/>
      </w:pPr>
      <w:r>
        <w:t>Betreuungsatmosphäre und Zufriedenheit verbessern Stimmung bei Schizophrenie deutlich</w:t>
      </w:r>
    </w:p>
    <w:p>
      <w:r>
        <w:rPr>
          <w:i/>
          <w:color w:val="666666"/>
          <w:sz w:val="18"/>
        </w:rPr>
        <w:t>Martinelli A et al.  ·  BMC Psychiatry  ·  21.10.2026  ·  PMID 42907808</w:t>
      </w:r>
    </w:p>
    <w:p>
      <w:r>
        <w:t>Italien: 68 Bewohner von Supported Accommodations (betreute Wohnformen) mit Schizophrenie-Spektrum-Störungen wurden mittels Experience Sampling Method täglich befragt; Zufriedenheit mit Betreuung und Atmosphäre wurden gemessen.</w:t>
      </w:r>
    </w:p>
    <w:p>
      <w:r>
        <w:rPr>
          <w:b/>
        </w:rPr>
        <w:t xml:space="preserve">Ergebnis: </w:t>
      </w:r>
      <w:r>
        <w:t>Wahrgenommene Betreuungszufriedenheit und Stationsatmosphäre waren der einzige signifikante Prädiktor für momentane Stimmung (β = 0,344, 95%-KI 0,084–0,954, p = 0,033). Strukturgleichungsmodell mit exzellentem Fit (CFI = 1,00, RMSEA = 0,00). Die Betreuungsumgebung war wichtiger als klinische Symptome für Wohlbefinden im Alltag.</w:t>
      </w:r>
    </w:p>
    <w:p>
      <w:r>
        <w:rPr>
          <w:b/>
          <w:sz w:val="19"/>
        </w:rPr>
        <w:t xml:space="preserve">Übertragbarkeit: </w:t>
      </w:r>
      <w:r>
        <w:rPr>
          <w:sz w:val="19"/>
        </w:rPr>
        <w:t>Italien, deutsches System ähnlich bei betreuten Wohnformen der Eingliederungshilfe</w:t>
      </w:r>
    </w:p>
    <w:p>
      <w:r>
        <w:rPr>
          <w:color w:val="5A7D3A"/>
          <w:sz w:val="18"/>
        </w:rPr>
        <w:t>https://pubmed.ncbi.nlm.nih.gov/42907808/</w:t>
      </w:r>
    </w:p>
    <w:p>
      <w:pPr>
        <w:pStyle w:val="Heading2"/>
      </w:pPr>
      <w:r>
        <w:t>Kommunikationstherapie bei Demenz: Kliniker berichten ungleiche Ressourcen und Unsicherheit</w:t>
      </w:r>
    </w:p>
    <w:p>
      <w:r>
        <w:rPr>
          <w:i/>
          <w:color w:val="666666"/>
          <w:sz w:val="18"/>
        </w:rPr>
        <w:t>Hockley A et al.  ·  Int J Lang Commun Disord  ·  Nov. 2026  ·  PMID 42905935</w:t>
      </w:r>
    </w:p>
    <w:p>
      <w:r>
        <w:t>Großbritannien: 18 Sprachtherapeuten in 4 Fokusgruppen berichteten, wie sie entscheiden, ob sie Kommunikationstherapie bei Demenz anbieten; Realist-Methoden identifizierten Barrieren und Enabler.</w:t>
      </w:r>
    </w:p>
    <w:p>
      <w:r>
        <w:rPr>
          <w:b/>
        </w:rPr>
        <w:t xml:space="preserve">Ergebnis: </w:t>
      </w:r>
      <w:r>
        <w:t>8 Themenbereiche identifiziert: Entscheidungen hängen ab von Personalstärke, Prioritätslogik, persönlichen Überzeugungen, Selbstsicherheit und Teamkultur. Angebot von Kommunikationstherapie variiert stark in UK. Eine Entscheidungshilfe könnte Unsicherheit reduzieren und Zugang für unterversorgte Gruppen verbessern, insbesondere durch Schulung, Peer-Support und Dienstmodellbeispiele.</w:t>
      </w:r>
    </w:p>
    <w:p>
      <w:r>
        <w:rPr>
          <w:b/>
          <w:sz w:val="19"/>
        </w:rPr>
        <w:t xml:space="preserve">Übertragbarkeit: </w:t>
      </w:r>
      <w:r>
        <w:rPr>
          <w:sz w:val="19"/>
        </w:rPr>
        <w:t>Großbritannien, vergleichbar mit deutschem Spezialisierungsproblem in Demenzversorgung</w:t>
      </w:r>
    </w:p>
    <w:p>
      <w:r>
        <w:rPr>
          <w:color w:val="5A7D3A"/>
          <w:sz w:val="18"/>
        </w:rPr>
        <w:t>https://pubmed.ncbi.nlm.nih.gov/42905935/</w:t>
      </w:r>
    </w:p>
    <w:p>
      <w:pPr>
        <w:pStyle w:val="Heading2"/>
      </w:pPr>
      <w:r>
        <w:t>Prolonged-Exposure-Training für Gemeindeanbieter erhöht die Implementierung um 48 %</w:t>
      </w:r>
    </w:p>
    <w:p>
      <w:r>
        <w:rPr>
          <w:i/>
          <w:color w:val="666666"/>
          <w:sz w:val="18"/>
        </w:rPr>
        <w:t>Rascol T et al.  ·  Eur J Psychotraumatol  ·  21.10.2026  ·  PMID 42904366</w:t>
      </w:r>
    </w:p>
    <w:p>
      <w:r>
        <w:t>Frankreich: 200 Kliniker aus der Gemeindepsychiatrie wurden in Prolonged Exposure (PE) zur PTBS-Behandlung trainiert. Nach 6 Monaten hatten 84 % mindestens eine PE-Sitzung durchgeführt, 48 % ein vollständiges PE-Protokoll mit einem Patienten abgeschlossen. Höhere Selbstsicherheit nach dem Training sagte Implementierung voraus (OR = 1,35, p = 0,049).</w:t>
      </w:r>
    </w:p>
    <w:p>
      <w:r>
        <w:rPr>
          <w:b/>
        </w:rPr>
        <w:t xml:space="preserve">Ergebnis: </w:t>
      </w:r>
      <w:r>
        <w:t>48 % der Kliniker setzten PE im Routinefall um; 85 % initiierte mindestens eine Sitzung. Wissen und Sicherheit im Umgang mit PTBS stiegen signifikant, Misskonzeptionen zur Expositionstherapie sanken. Diese Implementierungsquoten sind für die Gemeindepsychiatrie beachtlich, erfordern aber zusätzliche systemische Unterstützung.</w:t>
      </w:r>
    </w:p>
    <w:p>
      <w:r>
        <w:rPr>
          <w:b/>
          <w:sz w:val="19"/>
        </w:rPr>
        <w:t xml:space="preserve">Übertragbarkeit: </w:t>
      </w:r>
      <w:r>
        <w:rPr>
          <w:sz w:val="19"/>
        </w:rPr>
        <w:t>Frankreich, deutsches System vergleichbar in gemeindenaher Versorgung und Weiterbildung</w:t>
      </w:r>
    </w:p>
    <w:p>
      <w:r>
        <w:rPr>
          <w:color w:val="5A7D3A"/>
          <w:sz w:val="18"/>
        </w:rPr>
        <w:t>https://pubmed.ncbi.nlm.nih.gov/42904366/</w:t>
      </w:r>
    </w:p>
    <w:p>
      <w:pPr>
        <w:pStyle w:val="Heading2"/>
      </w:pPr>
      <w:r>
        <w:t>Personalstärke allein erklärt Wiederaufnahmen nicht – Systemblick erforderlich</w:t>
      </w:r>
    </w:p>
    <w:p>
      <w:r>
        <w:rPr>
          <w:i/>
          <w:color w:val="666666"/>
          <w:sz w:val="18"/>
        </w:rPr>
        <w:t>Scognamiglio P et al.  ·  Epidemiol Psychiatr Sci  ·  21.10.2026  ·  PMID 42904349</w:t>
      </w:r>
    </w:p>
    <w:p>
      <w:r>
        <w:t>Italien: 21 regionale Verbünde über 10 Jahre (2015-2024) wurden untersucht, ob die jährliche Variation der ärztlich-pflegerischen Personalstärke (pro 100.000 Erwachsene) mit ungeplanten Wiederaufnahmen within 30 Tage nach psychiatrischer Entlassung assoziiert ist.</w:t>
      </w:r>
    </w:p>
    <w:p>
      <w:r>
        <w:rPr>
          <w:b/>
        </w:rPr>
        <w:t xml:space="preserve">Ergebnis: </w:t>
      </w:r>
      <w:r>
        <w:t>Kein signifikanter Zusammenhang zwischen Personalstärke und Wiederaufnahmequoten (IRR 1,006, 95%-KI 0,934–1,034, p = 0,8095). Bei 7-Tage-Wiederaufnahmen: IRR 1,032 (p = 0,67). Sensitivitätsanalysen bestätigten das Nullergebnis. Die Studie warnt vor vereinfachtem Personalmanagement ohne Blick auf post-stationäre Organisation, Deployment und sozioökonomischen Kontext.</w:t>
      </w:r>
    </w:p>
    <w:p>
      <w:r>
        <w:rPr>
          <w:b/>
          <w:sz w:val="19"/>
        </w:rPr>
        <w:t xml:space="preserve">Übertragbarkeit: </w:t>
      </w:r>
      <w:r>
        <w:rPr>
          <w:sz w:val="19"/>
        </w:rPr>
        <w:t>Italien, vergleichbar mit deutschem Klinikdaten-Setting und Dokumentationspflichten</w:t>
      </w:r>
    </w:p>
    <w:p>
      <w:r>
        <w:rPr>
          <w:color w:val="5A7D3A"/>
          <w:sz w:val="18"/>
        </w:rPr>
        <w:t>https://pubmed.ncbi.nlm.nih.gov/42904349/</w:t>
      </w:r>
    </w:p>
    <w:p>
      <w:pPr>
        <w:pStyle w:val="Heading2"/>
      </w:pPr>
      <w:r>
        <w:t>Kurzzeitliche Eltern-Kind-Trennung in der Kindheit assoziiert mit anhaltenden Depressionen</w:t>
      </w:r>
    </w:p>
    <w:p>
      <w:r>
        <w:rPr>
          <w:i/>
          <w:color w:val="666666"/>
          <w:sz w:val="18"/>
        </w:rPr>
        <w:t>Yim IS et al.  ·  Eur J Psychotraumatol  ·  21.10.2026  ·  PMID 42902774</w:t>
      </w:r>
    </w:p>
    <w:p>
      <w:r>
        <w:t>Deutschland: 334 sogenannte Verschickungskinder (Personen, die in den 1950er–70er Jahren mehrere Wochen in Kindererholungsheimen untergebracht waren) wurden mit 77 Kontrollpersonen verglichen; psychische Langzeitfolgen wurden untersucht.</w:t>
      </w:r>
    </w:p>
    <w:p>
      <w:r>
        <w:rPr>
          <w:b/>
        </w:rPr>
        <w:t xml:space="preserve">Ergebnis: </w:t>
      </w:r>
      <w:r>
        <w:t>Verschickungskinder berichteten signifikant mehr depressive Symptome, Angst und Stresserleben als Kontrollgruppe (alle p &lt; 0,001). Jüngeres Alter bei Trennung korrelierte mit mehr Depressionen; wiederholte Trennungen mit höherer Stressbelastung. Sehr negative Erinnerungen waren multivariat der einzige signifikante Prädiktor für Depressionen (p = 0,02) und Angst (p = 0,009). Diese Langzeitfolgen stellen eine unerkannte Versorgungslast dar.</w:t>
      </w:r>
    </w:p>
    <w:p>
      <w:r>
        <w:rPr>
          <w:b/>
          <w:sz w:val="19"/>
        </w:rPr>
        <w:t xml:space="preserve">Übertragbarkeit: </w:t>
      </w:r>
      <w:r>
        <w:rPr>
          <w:sz w:val="19"/>
        </w:rPr>
        <w:t>Deutschland, deutsche Fallzahlen und Phänomen</w:t>
      </w:r>
    </w:p>
    <w:p>
      <w:r>
        <w:rPr>
          <w:color w:val="5A7D3A"/>
          <w:sz w:val="18"/>
        </w:rPr>
        <w:t>https://pubmed.ncbi.nlm.nih.gov/42902774/</w:t>
      </w:r>
    </w:p>
    <w:p>
      <w:pPr>
        <w:pStyle w:val="Heading2"/>
      </w:pPr>
      <w:r>
        <w:t>Psychische Gesundheitsförderung und Prävention bleiben unterversorg – Handlungsauftrag für Länder</w:t>
      </w:r>
    </w:p>
    <w:p>
      <w:r>
        <w:rPr>
          <w:i/>
          <w:color w:val="666666"/>
          <w:sz w:val="18"/>
        </w:rPr>
        <w:t>Campion J et al.  ·  Eur Psychiatry  ·  21.10.2026  ·  PMID 42902741</w:t>
      </w:r>
    </w:p>
    <w:p>
      <w:r>
        <w:t>Europäische Perspektive: Experten aus der WHO Europe, EPA und internationalen Organisationen analysieren die Versorgungslücken bei Prävention, Früherkennung und Gesundheitsförderung psychischer Erkrankungen in der europäischen Region.</w:t>
      </w:r>
    </w:p>
    <w:p>
      <w:r>
        <w:rPr>
          <w:b/>
        </w:rPr>
        <w:t xml:space="preserve">Ergebnis: </w:t>
      </w:r>
      <w:r>
        <w:t>Nur eine Minderheit in Europa erhält Behandlung für psychische Erkrankungen; noch weniger erhalten Präventionsinterventionen oder Angebote zur Resilienzförderung. Erforderliche Maßnahmen: PMH-Bedarfsassessment, menschenrechtsbasierte Ansätze, Schulung verschiedener Sektoren, Nutzung digitaler Technologie, Priorisierung hochimpaktiver Interventionen. Skalierung würde breite bevölkerungsweite Impacts und Kosteneinsparungen erzielen.</w:t>
      </w:r>
    </w:p>
    <w:p>
      <w:r>
        <w:rPr>
          <w:b/>
          <w:sz w:val="19"/>
        </w:rPr>
        <w:t xml:space="preserve">Übertragbarkeit: </w:t>
      </w:r>
      <w:r>
        <w:rPr>
          <w:sz w:val="19"/>
        </w:rPr>
        <w:t>Europa-Perspektive mit DACH-Relevanz zu Prävention und Auftragsfinanzierung</w:t>
      </w:r>
    </w:p>
    <w:p>
      <w:r>
        <w:rPr>
          <w:color w:val="5A7D3A"/>
          <w:sz w:val="18"/>
        </w:rPr>
        <w:t>https://pubmed.ncbi.nlm.nih.gov/42902741/</w:t>
      </w:r>
    </w:p>
    <w:p>
      <w:pPr>
        <w:pStyle w:val="Heading1"/>
      </w:pPr>
      <w:r>
        <w:t>Aufgenommen am 22.10.2026</w:t>
      </w:r>
    </w:p>
    <w:p>
      <w:pPr>
        <w:pStyle w:val="Heading2"/>
      </w:pPr>
      <w:r>
        <w:t>Kognitionstraining in der Hausarztpraxis: Umsetzungsstrategie für ältere Menschen mit Mild Cognitive Impairment</w:t>
      </w:r>
    </w:p>
    <w:p>
      <w:r>
        <w:rPr>
          <w:i/>
          <w:color w:val="666666"/>
          <w:sz w:val="18"/>
        </w:rPr>
        <w:t>Yuan S et al.  ·  BMC Geriatr  ·  23.07.2026  ·  PMID 42902222</w:t>
      </w:r>
    </w:p>
    <w:p>
      <w:r>
        <w:t>Studienprotokoll für eine clusterrandomisierte Faktorialstdie (2×2×2-Design) zur Prüfung einer dreitelementigen Implementierungsstrategie (erweiterte Schulung, Finanzierungsanreize, Führungsbeteiligung) für Kognitionstraining durch Hausarztteams in 16 Pekinger Gemeindegesundheitszentren (Zielgruppe: ältere Menschen mit MCI).</w:t>
      </w:r>
    </w:p>
    <w:p>
      <w:r>
        <w:rPr>
          <w:b/>
        </w:rPr>
        <w:t xml:space="preserve">Ergebnis: </w:t>
      </w:r>
      <w:r>
        <w:t>Studienprotokoll; primärer Endpunkt ist die Initiierung der Bereitstellung von Kognitionstraining durch Hausärzte (Wechsel von Nicht-Angebot zu Angebot). Sekundäre Endpunkte: Selbstwirksamkeit der Anbieter, kognitive Funktion der Patienten, Abdeckung, Implementierungsmaße. Sechs Monate Intervention, sechs Monate Beobachtung zur Nachhaltigkeit geplant.</w:t>
      </w:r>
    </w:p>
    <w:p>
      <w:r>
        <w:rPr>
          <w:b/>
          <w:sz w:val="19"/>
        </w:rPr>
        <w:t xml:space="preserve">Übertragbarkeit: </w:t>
      </w:r>
      <w:r>
        <w:rPr>
          <w:sz w:val="19"/>
        </w:rPr>
        <w:t>China, aber Fragen zu Implementierungshürden und -strategien für gemeindenahe Demenzprävention sind international relevant.</w:t>
      </w:r>
    </w:p>
    <w:p>
      <w:r>
        <w:rPr>
          <w:color w:val="5A7D3A"/>
          <w:sz w:val="18"/>
        </w:rPr>
        <w:t>https://pubmed.ncbi.nlm.nih.gov/42902222/</w:t>
      </w:r>
    </w:p>
    <w:p>
      <w:pPr>
        <w:pStyle w:val="Heading2"/>
      </w:pPr>
      <w:r>
        <w:t>Dramatische Techniken bei Trauma: Systematischer Überblick über 26 Studien mit unklarer Evidenzbasis</w:t>
      </w:r>
    </w:p>
    <w:p>
      <w:r>
        <w:rPr>
          <w:i/>
          <w:color w:val="666666"/>
          <w:sz w:val="18"/>
        </w:rPr>
        <w:t>Oliver E et al.  ·  Eur J Psychotraumatol  ·  20.10.2026  ·  PMID 42900683</w:t>
      </w:r>
    </w:p>
    <w:p>
      <w:r>
        <w:t>Systematische Übersicht über Studien zu dramatherapeutischen Interventionen (Psychodrama, Dramatherapie, angewandtes Theater) bei traumatisierten Personen; Beurteilung der Methodenqualität und Evidenzsicherheit.</w:t>
      </w:r>
    </w:p>
    <w:p>
      <w:r>
        <w:rPr>
          <w:b/>
        </w:rPr>
        <w:t xml:space="preserve">Ergebnis: </w:t>
      </w:r>
      <w:r>
        <w:t>26 von 1.461 Studien erfüllten Einschlusskriterien. Einige Arbeiten zeigten Verbesserungen in PTSD, Angst und Depression; Evidenzsicherheit wurde als sehr niedrig eingestuft wegen kleiner Stichproben, unkontrollierter Designs, heterogener Messung und unzureichender Interventionsbeschreibung. Klare Schlussfolgerungen zur Wirksamkeit sind nicht möglich.</w:t>
      </w:r>
    </w:p>
    <w:p>
      <w:r>
        <w:rPr>
          <w:b/>
          <w:sz w:val="19"/>
        </w:rPr>
        <w:t xml:space="preserve">Übertragbarkeit: </w:t>
      </w:r>
      <w:r>
        <w:rPr>
          <w:sz w:val="19"/>
        </w:rPr>
        <w:t>Australien/international; Drama-basierte Ansätze zeigen Potenzial, aber rigoros gestaltete Studien mit standardisierter Messung sind erforderlich.</w:t>
      </w:r>
    </w:p>
    <w:p>
      <w:r>
        <w:rPr>
          <w:color w:val="5A7D3A"/>
          <w:sz w:val="18"/>
        </w:rPr>
        <w:t>https://pubmed.ncbi.nlm.nih.gov/42900683/</w:t>
      </w:r>
    </w:p>
    <w:p>
      <w:pPr>
        <w:pStyle w:val="Heading2"/>
      </w:pPr>
      <w:r>
        <w:t>Hybrid-Modell aus App und Psychotherapie verbessert Angst bei peripartalen Frauen</w:t>
      </w:r>
    </w:p>
    <w:p>
      <w:r>
        <w:rPr>
          <w:i/>
          <w:color w:val="666666"/>
          <w:sz w:val="18"/>
        </w:rPr>
        <w:t>Calvert E et al.  ·  BMC Pregnancy Childbirth  ·  24.07.2026  ·  PMID 42897493</w:t>
      </w:r>
    </w:p>
    <w:p>
      <w:r>
        <w:t>Studie zur Wirkung eines Hybrid-Care-Modells (Smartphone-App mindLAMP plus virtuelle CBT) auf Angst- und Depressionssymptome bei schwangeren und postpartalen Frauen (n=13 peripartal, n=39 Kontrollgruppe).</w:t>
      </w:r>
    </w:p>
    <w:p>
      <w:r>
        <w:rPr>
          <w:b/>
        </w:rPr>
        <w:t xml:space="preserve">Ergebnis: </w:t>
      </w:r>
      <w:r>
        <w:t>GAD-7-Scores bei peripartalen Frauen sanken von 14,4 (SD=5,0) auf 5,5 (SD=4,3), Reduktion um 8,9 Punkte (p&lt;0,01; d=-1,91, 95%-KI: -2,89 bis -0,93); PHQ-9 sank von 9,3 auf 5,6 (Reduktion 3,7 Punkte, p=0,055). Das Modell zeigte Versprechen für zugängliche, evidenzbasierte Versorgung.</w:t>
      </w:r>
    </w:p>
    <w:p>
      <w:r>
        <w:rPr>
          <w:b/>
          <w:sz w:val="19"/>
        </w:rPr>
        <w:t xml:space="preserve">Übertragbarkeit: </w:t>
      </w:r>
      <w:r>
        <w:rPr>
          <w:sz w:val="19"/>
        </w:rPr>
        <w:t>USA, aber Hybrid-Care-Modell könnte Gestaltung der Perinatalpsychiatrie in deutschen Kliniken informieren.</w:t>
      </w:r>
    </w:p>
    <w:p>
      <w:r>
        <w:rPr>
          <w:color w:val="5A7D3A"/>
          <w:sz w:val="18"/>
        </w:rPr>
        <w:t>https://pubmed.ncbi.nlm.nih.gov/42897493/</w:t>
      </w:r>
    </w:p>
    <w:p>
      <w:pPr>
        <w:pStyle w:val="Heading2"/>
      </w:pPr>
      <w:r>
        <w:t>EEG-Neurofeedback bei ADHS im Erwachsenenalter: Systematische Übersicht zeigt keine Wirksamkeit über Placebo</w:t>
      </w:r>
    </w:p>
    <w:p>
      <w:r>
        <w:rPr>
          <w:i/>
          <w:color w:val="666666"/>
          <w:sz w:val="18"/>
        </w:rPr>
        <w:t>Rotkiewicz M et al.  ·  J Neurodev Disord  ·  22.07.2026  ·  PMID 42897476</w:t>
      </w:r>
    </w:p>
    <w:p>
      <w:r>
        <w:t>Systematische Übersicht nach PRISMA-Richtlinien über Studien zu EEG-Neurofeedback bei Erwachsenen mit ADHS (Datenbank bis Oktober 2025); Endpunkte: Symptomänderung, kognitive Leistung, Neurophysiologie, Nebenwirkungen.</w:t>
      </w:r>
    </w:p>
    <w:p>
      <w:r>
        <w:rPr>
          <w:b/>
        </w:rPr>
        <w:t xml:space="preserve">Ergebnis: </w:t>
      </w:r>
      <w:r>
        <w:t>Sieben Studien (drei RCTs, vier nicht-randomisiert; n=390) eingeschlossen. Naturalistische und personalisierte Studien berichteten große Symptomreduktionen; RCTs zeigten kleine, meist nicht-signifikante Effekte gegenüber Kontrollen. Kognitive Verbesserungen inkonsistent und größtenteils Praxiseffekte. Elektrophysiologische Veränderungen waren protokollspezifisch ohne Konvergenz. Keine behandlungsbezogenen Nebenwirkungen. Schlussfolgerung: RCTs zeigen keine Überlegenheit über Placebo; methodische Heterogenität, kleine Stichproben, variable Kontrollen, fehlende Standardisierung begrenzen Evidenzsicherheit.</w:t>
      </w:r>
    </w:p>
    <w:p>
      <w:r>
        <w:rPr>
          <w:b/>
          <w:sz w:val="19"/>
        </w:rPr>
        <w:t xml:space="preserve">Übertragbarkeit: </w:t>
      </w:r>
      <w:r>
        <w:rPr>
          <w:sz w:val="19"/>
        </w:rPr>
        <w:t>Frankreich (Durchführung), aber Befund zur Ineffektivität ist populationsunabhängig.</w:t>
      </w:r>
    </w:p>
    <w:p>
      <w:r>
        <w:rPr>
          <w:color w:val="5A7D3A"/>
          <w:sz w:val="18"/>
        </w:rPr>
        <w:t>https://pubmed.ncbi.nlm.nih.gov/42897476/</w:t>
      </w:r>
    </w:p>
    <w:p>
      <w:pPr>
        <w:pStyle w:val="Heading2"/>
      </w:pPr>
      <w:r>
        <w:t>Rock-and-Roll-Tanzen reduziert Angst und verbessert Selbstwirksamkeit bei chinesischen Studierenden</w:t>
      </w:r>
    </w:p>
    <w:p>
      <w:r>
        <w:rPr>
          <w:i/>
          <w:color w:val="666666"/>
          <w:sz w:val="18"/>
        </w:rPr>
        <w:t>He Y et al.  ·  Front Public Health  ·  02.10.2026  ·  PMID 42890720</w:t>
      </w:r>
    </w:p>
    <w:p>
      <w:r>
        <w:t>Dreigliedrige Längsschnittstudie (mixed-methods) zu Effekten von Rock-n-Roll-Tanzsport (Jive, Cha-Cha) auf Selbstwirksamkeit, Angst (GAD-7) und Herzratenvariabilität über 6 Monate bei 152 chinesischen Studierenden (n=131 bei T3), mit Interviews und Beobachtung.</w:t>
      </w:r>
    </w:p>
    <w:p>
      <w:r>
        <w:rPr>
          <w:b/>
        </w:rPr>
        <w:t xml:space="preserve">Ergebnis: </w:t>
      </w:r>
      <w:r>
        <w:t>Hochfrequente Teilnehmer (≥3 Sitzungen/Woche) vs. Niedrigfrequente (1-2 Sitzungen/Woche) zeigten signifikante Haupteffekte: höhere Gesamtselbstwirksamkeit (β=3,60, p&lt;0,001), höhere soziale Selbstwirksamkeit (β=8,62, p&lt;0,001), niedrigere GAD-7 (β=-2,80, p&lt;0,001), höhere HRV (β=7,64 ms, p&lt;0,001). Zeit×Frequenz-Interaktionen zeigten größere Verbesserungen bei Hochfrequenten über 6 Monate in sozialer Selbstwirksamkeit (T2: β=2,40, p=0,001; T3: β=2,37, p=0,001) und HRV (T3: β=3,10, p=0,004). Qualitative Themen: rhythmische Synchronisation als affektiver Katalysator, verkörperte Meisterschaft, synchronisierte Partnerschaft, Sinnbildung.</w:t>
      </w:r>
    </w:p>
    <w:p>
      <w:r>
        <w:rPr>
          <w:b/>
          <w:sz w:val="19"/>
        </w:rPr>
        <w:t xml:space="preserve">Übertragbarkeit: </w:t>
      </w:r>
      <w:r>
        <w:rPr>
          <w:sz w:val="19"/>
        </w:rPr>
        <w:t>China, aber strukturierte, kunstbasierte körperliche Aktivitäten könnten in Deutschland als niedrigschwelliges, nicht-stigmatisierendes Angebot für Studierende modelliert werden.</w:t>
      </w:r>
    </w:p>
    <w:p>
      <w:r>
        <w:rPr>
          <w:color w:val="5A7D3A"/>
          <w:sz w:val="18"/>
        </w:rPr>
        <w:t>https://pubmed.ncbi.nlm.nih.gov/42890720/</w:t>
      </w:r>
    </w:p>
    <w:p>
      <w:pPr>
        <w:pStyle w:val="Heading2"/>
      </w:pPr>
      <w:r>
        <w:t>Donoren-Empfänger-Beziehung beeinflusst psychische Gesundheit lebender Nierenspendern nicht, aber Pflegelast und Verantwortung sehr</w:t>
      </w:r>
    </w:p>
    <w:p>
      <w:r>
        <w:rPr>
          <w:i/>
          <w:color w:val="666666"/>
          <w:sz w:val="18"/>
        </w:rPr>
        <w:t>Papachristou C et al.  ·  Transpl Int  ·  02.09.2026  ·  PMID 42751546</w:t>
      </w:r>
    </w:p>
    <w:p>
      <w:r>
        <w:t>Europäische Zweizentrum-Studie an 713 lebenden Nierenspendern (Berlin und Barcelona) zu Lebensqualität und psychologischen Ergebnissen (Angst, Depression, Somatisierung) in Beziehung zu Donoren-Empfänger-Relation, Pflegerolle, Pflegelast und wahrgenommener Verantwortung.</w:t>
      </w:r>
    </w:p>
    <w:p>
      <w:r>
        <w:rPr>
          <w:b/>
        </w:rPr>
        <w:t xml:space="preserve">Ergebnis: </w:t>
      </w:r>
      <w:r>
        <w:t>Nach Adjustierung für Geschlecht, Alter, Zentrum und Zeit seit Spende: Beziehungstyp nicht mit körperlichem Wohlbefinden assoziiert, aber mit psychischem Wohlbefinden (Ehegatten-Spender hatten niedrigeres psychisches Wohlbefinden als genetisch verwandte Spender). Pflegerolle: niedrigeres psychisches Wohlbefinden und erhöhte Angst; Pflegelast: höhere Somatisierung; wahrgenommene Verantwortung für Empfängergesundheit: höhere Depression. Unterschiede zwischen Zentren reflektieren kulturelle und organisatorische Charakteristiken.</w:t>
      </w:r>
    </w:p>
    <w:p>
      <w:r>
        <w:rPr>
          <w:b/>
          <w:sz w:val="19"/>
        </w:rPr>
        <w:t xml:space="preserve">Übertragbarkeit: </w:t>
      </w:r>
      <w:r>
        <w:rPr>
          <w:sz w:val="19"/>
        </w:rPr>
        <w:t>Deutschland/DACH: Vergleichbares Transplantationssystem, ähnliche ethische Rahmenbedingungen.</w:t>
      </w:r>
    </w:p>
    <w:p>
      <w:r>
        <w:rPr>
          <w:color w:val="5A7D3A"/>
          <w:sz w:val="18"/>
        </w:rPr>
        <w:t>https://pubmed.ncbi.nlm.nih.gov/42751546/</w:t>
      </w:r>
    </w:p>
    <w:p>
      <w:pPr>
        <w:pStyle w:val="Heading1"/>
      </w:pPr>
      <w:r>
        <w:t>Aufgenommen am 21.10.2026</w:t>
      </w:r>
    </w:p>
    <w:p>
      <w:pPr>
        <w:pStyle w:val="Heading2"/>
      </w:pPr>
      <w:r>
        <w:t>Online Achtsamkeitstraining senkt Rückfallrisiko bei perinataler Depression um 26 Prozent</w:t>
      </w:r>
    </w:p>
    <w:p>
      <w:r>
        <w:rPr>
          <w:i/>
          <w:color w:val="666666"/>
          <w:sz w:val="18"/>
        </w:rPr>
        <w:t>Dimidjian S et al.  ·  Lancet Public Health  ·  Nov. 2026  ·  PMID 42901187</w:t>
      </w:r>
    </w:p>
    <w:p>
      <w:r>
        <w:t>Randomisierte US-Studie mit 500 schwangeren Frauen mit rezidivierender Depression: Eine webbasierte Achtsamkeits-Kognitiv-Therapie (Mindful Mood Balance) plus reguläre Versorgung versus reguläre Versorgung allein, Nachverfolgung bis 6 Monate postpartal.</w:t>
      </w:r>
    </w:p>
    <w:p>
      <w:r>
        <w:rPr>
          <w:b/>
        </w:rPr>
        <w:t xml:space="preserve">Ergebnis: </w:t>
      </w:r>
      <w:r>
        <w:t>33 Prozent (81/249) der Mindful-Mood-Balance-Gruppe erlebten einen depressiven Rückfall gegenüber 44 Prozent (111/251) der Vergleichsgruppe (Hazard Ratio 0,74; 95%-CI 0,56-0,99; p=0,045). Symptomreduktion während der 12-Wochen-Interventionsphase stärker in der Interventionsgruppe (Abnahme 0,75 versus 0,31 auf der Symptomskala).</w:t>
      </w:r>
    </w:p>
    <w:p>
      <w:r>
        <w:rPr>
          <w:b/>
          <w:sz w:val="19"/>
        </w:rPr>
        <w:t xml:space="preserve">Übertragbarkeit: </w:t>
      </w:r>
      <w:r>
        <w:rPr>
          <w:sz w:val="19"/>
        </w:rPr>
        <w:t>USA mit anderer Finanzierung, aber Gestaltungsprinzipien (asynchron + synchron) übertragbar auf deutsches Versorgungssystem.</w:t>
      </w:r>
    </w:p>
    <w:p>
      <w:r>
        <w:rPr>
          <w:color w:val="5A7D3A"/>
          <w:sz w:val="18"/>
        </w:rPr>
        <w:t>https://pubmed.ncbi.nlm.nih.gov/42901187/</w:t>
      </w:r>
    </w:p>
    <w:p>
      <w:pPr>
        <w:pStyle w:val="Heading2"/>
      </w:pPr>
      <w:r>
        <w:t>Sexualität bei Menschen mit Behinderung bleibt Tabuthema – Mitarbeitende vermeiden Gespräche aus Unbehagen</w:t>
      </w:r>
    </w:p>
    <w:p>
      <w:r>
        <w:rPr>
          <w:i/>
          <w:color w:val="666666"/>
          <w:sz w:val="18"/>
        </w:rPr>
        <w:t>Webb N et al.  ·  J Appl Res Intellect Disabil  ·  Sept. 2026  ·  PMID 42899364</w:t>
      </w:r>
    </w:p>
    <w:p>
      <w:r>
        <w:t>Systematischer Review von 23 qualitativ-empirischen Studien (Suchzeitraum Januar 2006 bis August 2025) zu Gesprächen zwischen Fachpersonen und erwachsenen Menschen mit intellektueller Behinderung über Sexualität und Beziehungen; Analyse von 75 dokumentierten oder hypothetischen sexualitätsbezogenen Gesprächssituationen.</w:t>
      </w:r>
    </w:p>
    <w:p>
      <w:r>
        <w:rPr>
          <w:b/>
        </w:rPr>
        <w:t xml:space="preserve">Ergebnis: </w:t>
      </w:r>
      <w:r>
        <w:t>Von 75 Gesprächen waren 42 real (39 fanden statt, 3 wurden aktiv vermieden) und 33 hypothetisch. Gesprächsförderer: vertrauensvolle Beziehungen, unterstützende Organisationsstrukturen, zielgerichtete Schulung. Barrieren: Angst, Stigma, Rollenunsicherheit, risikoaverse Organisationskulturen. Spannung zwischen anerkannten Sexualrechten und risikoorientierter Praxis erkannt. Empfehlung: Schulung, Rollenklerheit, rechtebasierte Richtlinien erforderlich.</w:t>
      </w:r>
    </w:p>
    <w:p>
      <w:r>
        <w:rPr>
          <w:b/>
          <w:sz w:val="19"/>
        </w:rPr>
        <w:t xml:space="preserve">Übertragbarkeit: </w:t>
      </w:r>
      <w:r>
        <w:rPr>
          <w:sz w:val="19"/>
        </w:rPr>
        <w:t>Irland – deutsches System hat ähnliche Barrieren (Betreutes Wohnen, Werkstätten), Befund zur Stigmatisierung zentral für Versorgungspraxis mit Behinderung.</w:t>
      </w:r>
    </w:p>
    <w:p>
      <w:r>
        <w:rPr>
          <w:color w:val="5A7D3A"/>
          <w:sz w:val="18"/>
        </w:rPr>
        <w:t>https://pubmed.ncbi.nlm.nih.gov/42899364/</w:t>
      </w:r>
    </w:p>
    <w:p>
      <w:pPr>
        <w:pStyle w:val="Heading2"/>
      </w:pPr>
      <w:r>
        <w:t>Patientenwünsche in stationärer Psychiatrie enthüllen unerkannte Barrieren für Recovery-orientierte Praxis</w:t>
      </w:r>
    </w:p>
    <w:p>
      <w:r>
        <w:rPr>
          <w:i/>
          <w:color w:val="666666"/>
          <w:sz w:val="18"/>
        </w:rPr>
        <w:t>Hybholt L et al.  ·  Int J Ment Health Nurs  ·  Okt. 2026  ·  PMID 42899357</w:t>
      </w:r>
    </w:p>
    <w:p>
      <w:r>
        <w:t>Beobachtungsstudie von 14 aufeinanderfolgenden ‚Wishing-Well'-Meetings über 7 Monate in einer akuten psychiatrischen Station: Analyse von 100 Patientenwünschen zur Verbesserung des Stationsalltags und Interaktionen zwischen Patienten und Personal.</w:t>
      </w:r>
    </w:p>
    <w:p>
      <w:r>
        <w:rPr>
          <w:b/>
        </w:rPr>
        <w:t xml:space="preserve">Ergebnis: </w:t>
      </w:r>
      <w:r>
        <w:t>100 Wünsche erfasst: 53 Prozent betrafen Wohnumgebung, 20 Prozent Personalverhalten, 8 Prozent Regelwerk, 6 Prozent Patientengemeinschaft, 6 Prozent Patientenmerkmale, 5 Prozent außerhospitale Faktoren, 2 Prozent unklar kategorisierbar. Wünsche zum Personalteam offenbarten Routinen, die Autonomie und Partizipation einschränkten; Diskussion führte zu Praxisveränderungen und besserer Ausrichtung auf Recovery-Werte.</w:t>
      </w:r>
    </w:p>
    <w:p>
      <w:r>
        <w:rPr>
          <w:b/>
          <w:sz w:val="19"/>
        </w:rPr>
        <w:t xml:space="preserve">Übertragbarkeit: </w:t>
      </w:r>
      <w:r>
        <w:rPr>
          <w:sz w:val="19"/>
        </w:rPr>
        <w:t>Dänemark, psychisch-sozialmedizinische Organisationskultur ähnlich Deutschland – Befund zu Schnittstelle zwischen Zwangsstrukturen und Autonomie relevant.</w:t>
      </w:r>
    </w:p>
    <w:p>
      <w:r>
        <w:rPr>
          <w:color w:val="5A7D3A"/>
          <w:sz w:val="18"/>
        </w:rPr>
        <w:t>https://pubmed.ncbi.nlm.nih.gov/42899357/</w:t>
      </w:r>
    </w:p>
    <w:p>
      <w:pPr>
        <w:pStyle w:val="Heading2"/>
      </w:pPr>
      <w:r>
        <w:t>Energiearmut beeinträchtigt psychisches Wohlbefinden durch Angst, Schlafstörung und Kontrollverlust</w:t>
      </w:r>
    </w:p>
    <w:p>
      <w:r>
        <w:rPr>
          <w:i/>
          <w:color w:val="666666"/>
          <w:sz w:val="18"/>
        </w:rPr>
        <w:t>Ambrosio-Albala P et al.  ·  BMC Public Health  ·  24.07.2026  ·  PMID 42897544</w:t>
      </w:r>
    </w:p>
    <w:p>
      <w:r>
        <w:t>Qualitative Studie mit 36 Personen in energiearmem Wohnzustand in Leeds, Heerlen und Valencia: Semistrukturierte Interviews zu den Verbindungen zwischen Energiearmut und Wohlbefinden, analysiert mit thematischer Analyse anhand des Konzeptiven Rahmens für Public Mental Health.</w:t>
      </w:r>
    </w:p>
    <w:p>
      <w:r>
        <w:rPr>
          <w:b/>
        </w:rPr>
        <w:t xml:space="preserve">Ergebnis: </w:t>
      </w:r>
      <w:r>
        <w:t>Konsistente Befunde über alle drei Städte hinweg: Teilnehmer beschrieben anhaltende Angst und Sorge um Energiekosten, thermische Unbehaglichkeit, beeinträchtigte Stimmung und Schlaf, reduzierte Kontrolle über Lebensbedingungen sowie Belastung von Beziehungen und sozialen Interaktionen. Erfahrungen mit Behörden wirkten sich auf Wohlbefinden aus – Gefühl von Anerkennung oder Übersehen war zentral. Pathways mental-health-relevant trotz unterschiedlicher Kontexte ähnlich.</w:t>
      </w:r>
    </w:p>
    <w:p>
      <w:r>
        <w:rPr>
          <w:b/>
          <w:sz w:val="19"/>
        </w:rPr>
        <w:t xml:space="preserve">Übertragbarkeit: </w:t>
      </w:r>
      <w:r>
        <w:rPr>
          <w:sz w:val="19"/>
        </w:rPr>
        <w:t>Großbritannien, Niederlande, Spanien – europäische Befunde, mehrebenenintervention gefordert, teilweise übertragbar auf deutsche Versorgungskontexte mit Wärmekostenfragen.</w:t>
      </w:r>
    </w:p>
    <w:p>
      <w:r>
        <w:rPr>
          <w:color w:val="5A7D3A"/>
          <w:sz w:val="18"/>
        </w:rPr>
        <w:t>https://pubmed.ncbi.nlm.nih.gov/42897544/</w:t>
      </w:r>
    </w:p>
    <w:p>
      <w:pPr>
        <w:pStyle w:val="Heading2"/>
      </w:pPr>
      <w:r>
        <w:t>Familienunterstützung fördert psychisches Wohlbefinden von armen Jugendlichen über Selbstwirksamkeit</w:t>
      </w:r>
    </w:p>
    <w:p>
      <w:r>
        <w:rPr>
          <w:i/>
          <w:color w:val="666666"/>
          <w:sz w:val="18"/>
        </w:rPr>
        <w:t>Chang CW et al.  ·  BMC Public Health  ·  24.07.2026  ·  PMID 42897510</w:t>
      </w:r>
    </w:p>
    <w:p>
      <w:r>
        <w:t>Längsschnittanalyse mit 1.792 wirtschaftlich benachteiligten Jugendlichen und jungen Erwachsenen in Taiwan über zwei Zeitpunkte: Prüfung der mediierenden Rolle von Selbstwirksamkeit in der Beziehung zwischen Familienunterstützung und psychischer Gesundheit (Lebenszufriedenheit und psychische Belastung gemessen).</w:t>
      </w:r>
    </w:p>
    <w:p>
      <w:r>
        <w:rPr>
          <w:b/>
        </w:rPr>
        <w:t xml:space="preserve">Ergebnis: </w:t>
      </w:r>
      <w:r>
        <w:t>Familienunterstützung zu T1 war positiv assoziiert mit Selbstwirksamkeit und Lebenszufriedenheit zu T2, aber nicht mit psychischer Belastung. Selbstwirksamkeit zu T1 war signifikant mit Lebenszufriedenheit zu T2 verbunden, aber nicht mit psychischer Belastung. Mediationsanalyse bestätigte, dass Selbstwirksamkeit die Beziehung zwischen Familienunterstützung und positiver psychischer Gesundheit mediiert. Befund zeigt Unterschied zwischen Ansätzen für positive und negative Aspekte psychischer Gesundheit.</w:t>
      </w:r>
    </w:p>
    <w:p>
      <w:r>
        <w:rPr>
          <w:b/>
          <w:sz w:val="19"/>
        </w:rPr>
        <w:t xml:space="preserve">Übertragbarkeit: </w:t>
      </w:r>
      <w:r>
        <w:rPr>
          <w:sz w:val="19"/>
        </w:rPr>
        <w:t>Taiwan – System der Eingliederungshilfe für Jugendliche verschieden, aber Befund zu Schutzfaktoren (Familie, Selbstwirksamkeit) übertragbar.</w:t>
      </w:r>
    </w:p>
    <w:p>
      <w:r>
        <w:rPr>
          <w:color w:val="5A7D3A"/>
          <w:sz w:val="18"/>
        </w:rPr>
        <w:t>https://pubmed.ncbi.nlm.nih.gov/42897510/</w:t>
      </w:r>
    </w:p>
    <w:p>
      <w:pPr>
        <w:pStyle w:val="Heading2"/>
      </w:pPr>
      <w:r>
        <w:t>Diskriminierung am Arbeitsplatz verdoppelt Risiko für suizidale Gedanken</w:t>
      </w:r>
    </w:p>
    <w:p>
      <w:r>
        <w:rPr>
          <w:i/>
          <w:color w:val="666666"/>
          <w:sz w:val="18"/>
        </w:rPr>
        <w:t>Weinmann T et al.  ·  Soc Sci Med  ·  22.09.2026  ·  PMID 42777310</w:t>
      </w:r>
    </w:p>
    <w:p>
      <w:r>
        <w:t>Querschnittstudie von 2594 Arbeitnehmern in Luxemburg (Durchschnittsalter 42,3 Jahre): Erfassung von Diskriminierungserfahrungen (nach Geschlecht, Alter, Ethnizität, Religion, Behinderung, sexueller Orientierung) und psychische Gesundheit gemessen mit WHO-5-Index und suizidale Gedanken im vergangenen Jahr.</w:t>
      </w:r>
    </w:p>
    <w:p>
      <w:r>
        <w:rPr>
          <w:b/>
        </w:rPr>
        <w:t xml:space="preserve">Ergebnis: </w:t>
      </w:r>
      <w:r>
        <w:t>Wöchentliche oder tägliche Diskriminierung war assoziiert mit erhöhten Chancen für schlechte psychische Gesundheit (OR 1,73; 95%-CI 1,04-2,90) und suizidale Gedanken (OR 2,38; 95%-CI 1,21-4,71). Exposition gegenüber drei oder mehr Diskriminierungstypen zeigte ähnliche Effekte (suizidale Gedanken: OR 2,33; 95%-CI 1,17-4,64). Dosisabhängige Beziehung erkannt.</w:t>
      </w:r>
    </w:p>
    <w:p>
      <w:r>
        <w:rPr>
          <w:b/>
          <w:sz w:val="19"/>
        </w:rPr>
        <w:t xml:space="preserve">Übertragbarkeit: </w:t>
      </w:r>
      <w:r>
        <w:rPr>
          <w:sz w:val="19"/>
        </w:rPr>
        <w:t>Luxemburg, vergleichbares Sozialversicherungssystem, ähnliche Arbeitsmarktbedingungen.</w:t>
      </w:r>
    </w:p>
    <w:p>
      <w:r>
        <w:rPr>
          <w:color w:val="5A7D3A"/>
          <w:sz w:val="18"/>
        </w:rPr>
        <w:t>https://pubmed.ncbi.nlm.nih.gov/42777310/</w:t>
      </w:r>
    </w:p>
    <w:p>
      <w:pPr>
        <w:pStyle w:val="Heading1"/>
      </w:pPr>
      <w:r>
        <w:t>Aufgenommen am 20.10.2026</w:t>
      </w:r>
    </w:p>
    <w:p>
      <w:pPr>
        <w:pStyle w:val="Heading2"/>
      </w:pPr>
      <w:r>
        <w:t>Online- und Präsenzbegleitung bei Depression: Ergebnisse ähnlich, Adhärenz besser online</w:t>
      </w:r>
    </w:p>
    <w:p>
      <w:r>
        <w:rPr>
          <w:i/>
          <w:color w:val="666666"/>
          <w:sz w:val="18"/>
        </w:rPr>
        <w:t>Akalın D et al.  ·  JMIR Form Res  ·  19.10.2026  ·  PMID 42896175</w:t>
      </w:r>
    </w:p>
    <w:p>
      <w:r>
        <w:t>Prospektive Kohortenstudie mit 120 Erwachsenen mit Major Depression in der Türkei: 6 Monate ambulante psychiatrische Behandlung entweder face-to-face (n=60) oder online (n=60) nach Patientenpräferenz.</w:t>
      </w:r>
    </w:p>
    <w:p>
      <w:r>
        <w:rPr>
          <w:b/>
        </w:rPr>
        <w:t xml:space="preserve">Ergebnis: </w:t>
      </w:r>
      <w:r>
        <w:t>Depressive Symptome (HAM-D) sanken in beiden Gruppen erheblich: Face-to-face von 26,6 auf 5,0 (81,2% Reduktion, Cohen d=4,86), online von 24,1 auf 3,3 (86,3% Reduktion, Cohen d=6,06). Nach Adjustierung für Ausgangschweregrad keine signifikanten Unterschiede zwischen den Gruppen (p=0,46). Online-Gruppe zeigte jedoch höhere Adhärenz über alle 7 geplanten Sitzungen (88,8% vs. 76%, p&lt;0,001). Beide Modalitäten führten zu hohen Response-Raten (95,3% vs. 98%).</w:t>
      </w:r>
    </w:p>
    <w:p>
      <w:r>
        <w:rPr>
          <w:b/>
          <w:sz w:val="19"/>
        </w:rPr>
        <w:t xml:space="preserve">Übertragbarkeit: </w:t>
      </w:r>
      <w:r>
        <w:rPr>
          <w:sz w:val="19"/>
        </w:rPr>
        <w:t>Türkei, Universitätsklinik – Befund zur Feasibility telemedizinischer Betreuung in regulärer ambulanter Praxis übertragbar</w:t>
      </w:r>
    </w:p>
    <w:p>
      <w:r>
        <w:rPr>
          <w:color w:val="5A7D3A"/>
          <w:sz w:val="18"/>
        </w:rPr>
        <w:t>https://pubmed.ncbi.nlm.nih.gov/42896175/</w:t>
      </w:r>
    </w:p>
    <w:p>
      <w:pPr>
        <w:pStyle w:val="Heading2"/>
      </w:pPr>
      <w:r>
        <w:t>Intensivtherapie überlegen: 4-Tage-Exposition gegen Online-KVT bei Zwangsstörung</w:t>
      </w:r>
    </w:p>
    <w:p>
      <w:r>
        <w:rPr>
          <w:i/>
          <w:color w:val="666666"/>
          <w:sz w:val="18"/>
        </w:rPr>
        <w:t>Jelinek L et al.  ·  JAMA Netw Open  ·  01.10.2026  ·  PMID 42895747</w:t>
      </w:r>
    </w:p>
    <w:p>
      <w:r>
        <w:t>Randomisierte Studie mit 119 Erwachsenen mit Zwangsstörung (OCD): Vergleich der Bergen-4-Tage-Behandlung (B4DT, konzentrierte Expositionstherapie) mit 8-wöchiger ungeleiteter Internet-KVT (iCBT), Nachverfolgung über 3 Monate.</w:t>
      </w:r>
    </w:p>
    <w:p>
      <w:r>
        <w:rPr>
          <w:b/>
        </w:rPr>
        <w:t xml:space="preserve">Ergebnis: </w:t>
      </w:r>
      <w:r>
        <w:t>B4DT zeigte signifikant stärkere Reduktionen in OCD-Symptomen (Yale-Brown Obsessive Compulsive Scale) als iCBT mit großem Effekt am Ende der Behandlung (Differenz -7,9 Punkte, Hedges g=-1,6, p&lt;0,001) und bei 3-Monats-Nachverfolgung (Differenz -5,6, Hedges g=-1,0). Response-Rate nach 3 Monaten B4DT 61,4% vs. iCBT 25,0%; Remissionsrate 42,1% vs. 13,6%. Alle sekundären Outcomes begünstigten B4DT.</w:t>
      </w:r>
    </w:p>
    <w:p>
      <w:r>
        <w:rPr>
          <w:b/>
          <w:sz w:val="19"/>
        </w:rPr>
        <w:t xml:space="preserve">Übertragbarkeit: </w:t>
      </w:r>
      <w:r>
        <w:rPr>
          <w:sz w:val="19"/>
        </w:rPr>
        <w:t>Deutschland, Universitätsklinik Hamburg – erprobtes, konzentriertes Verfahren für bessere Zugangsrechtfertigung und Ressourcenallokation</w:t>
      </w:r>
    </w:p>
    <w:p>
      <w:r>
        <w:rPr>
          <w:color w:val="5A7D3A"/>
          <w:sz w:val="18"/>
        </w:rPr>
        <w:t>https://pubmed.ncbi.nlm.nih.gov/42895747/</w:t>
      </w:r>
    </w:p>
    <w:p>
      <w:pPr>
        <w:pStyle w:val="Heading2"/>
      </w:pPr>
      <w:r>
        <w:t>Gesundheits- und Wellbeing-Programm für Erwachsene mit Lernbehinderungen machbar und wirksam</w:t>
      </w:r>
    </w:p>
    <w:p>
      <w:r>
        <w:rPr>
          <w:i/>
          <w:color w:val="666666"/>
          <w:sz w:val="18"/>
        </w:rPr>
        <w:t>McCready H et al.  ·  J Appl Res Intellect Disabil  ·  Sept. 2026  ·  PMID 42894898</w:t>
      </w:r>
    </w:p>
    <w:p>
      <w:r>
        <w:t>Machbarkeitsstudie eines 8-wöchigen Gesundheits- und Wellbeing-Interventionsprogramms für 24 Erwachsene mit leichter bis mittelgradiger intellektueller Behinderung in gemeindepsychiatrischen Tagesdiensten; Guided by Medical Research Council Framework mit Assessments zu Machbarkeit, Akzeptabilität, Treue und Pre-Post-Outcomes.</w:t>
      </w:r>
    </w:p>
    <w:p>
      <w:r>
        <w:rPr>
          <w:b/>
        </w:rPr>
        <w:t xml:space="preserve">Ergebnis: </w:t>
      </w:r>
      <w:r>
        <w:t>Retention 100%, Compliance 73%. Outcome-Erfassung &gt;80% für die meisten Messgrößen, keine Nebenwirkungen. Systolischer Blutdruck verbessert sich, Muskelausdauer und Flexibilität nahmen zu. In explorativen Analysen bessere Outcomes bei Teilnehmern mit leichter intellektueller Behinderung. Personalfiddelität war zufriedenstellend. Wohlbefindens-Scores (generell) verbesserten sich nicht signifikant.</w:t>
      </w:r>
    </w:p>
    <w:p>
      <w:r>
        <w:rPr>
          <w:b/>
          <w:sz w:val="19"/>
        </w:rPr>
        <w:t xml:space="preserve">Übertragbarkeit: </w:t>
      </w:r>
      <w:r>
        <w:rPr>
          <w:sz w:val="19"/>
        </w:rPr>
        <w:t>Irland und UK – gemeindenahe Maßnahme für vulnerable Gruppe mit messbarem physiologischem Nutzen</w:t>
      </w:r>
    </w:p>
    <w:p>
      <w:r>
        <w:rPr>
          <w:color w:val="5A7D3A"/>
          <w:sz w:val="18"/>
        </w:rPr>
        <w:t>https://pubmed.ncbi.nlm.nih.gov/42894898/</w:t>
      </w:r>
    </w:p>
    <w:p>
      <w:pPr>
        <w:pStyle w:val="Heading2"/>
      </w:pPr>
      <w:r>
        <w:t>Einfache Postkarten-Aktion reduzierte Einsamkeit und steigerte Wohlbefinden nachweisbar</w:t>
      </w:r>
    </w:p>
    <w:p>
      <w:r>
        <w:rPr>
          <w:i/>
          <w:color w:val="666666"/>
          <w:sz w:val="18"/>
        </w:rPr>
        <w:t>Le Novere M et al.  ·  BMC Public Health  ·  22.07.2026  ·  PMID 42894147</w:t>
      </w:r>
    </w:p>
    <w:p>
      <w:r>
        <w:t>Evaluationsstudie eines partizipativen öffentlichen Gesundheitsinterventionsprogramms: Teilnehmer senden und erhalten Postkarten mit guten Wünschen an unbekannte Menschen; Analyse von 1.285 Antworten aus zwei Austauschgruppen 2021 mit Befragungen am Anfang, nach 2 Wochen und 3 Monate danach.</w:t>
      </w:r>
    </w:p>
    <w:p>
      <w:r>
        <w:rPr>
          <w:b/>
        </w:rPr>
        <w:t xml:space="preserve">Ergebnis: </w:t>
      </w:r>
      <w:r>
        <w:t>Einsamkeit reduzierte sich von Baseline bis Ende des Austauschs um -0,21 Punkte (95%-KI: -0,29 bis -0,12) und bis 3 Monate post-Austausch um -0,40 Punkte (95%-KI: -0,50 bis -0,30). Wohlbefinden stieg von Baseline bis Ende um 0,68 Einheiten (95%-KI: 0,47–0,88) und bis 3 Monate um 1,01 Einheiten (95%-KI: 0,77–1,25). Durchschnittliche Verwaltungskosten £0,67–£0,87 pro Teilnehmer. 48% der Baseline-Teilnehmer antworteten am Ende, 32% bei 3-Monats-Nachverfolgung.</w:t>
      </w:r>
    </w:p>
    <w:p>
      <w:r>
        <w:rPr>
          <w:b/>
          <w:sz w:val="19"/>
        </w:rPr>
        <w:t xml:space="preserve">Übertragbarkeit: </w:t>
      </w:r>
      <w:r>
        <w:rPr>
          <w:sz w:val="19"/>
        </w:rPr>
        <w:t>Großbritannien (UCL London) – einfache, skalierbare Public-Health-Maßnahme mit messbarem Effekt auf Bevölkerungsebene</w:t>
      </w:r>
    </w:p>
    <w:p>
      <w:r>
        <w:rPr>
          <w:color w:val="5A7D3A"/>
          <w:sz w:val="18"/>
        </w:rPr>
        <w:t>https://pubmed.ncbi.nlm.nih.gov/42894147/</w:t>
      </w:r>
    </w:p>
    <w:p>
      <w:pPr>
        <w:pStyle w:val="Heading2"/>
      </w:pPr>
      <w:r>
        <w:t>Italienisches Versorgungsnetz für Alzheimer mit strukturierten Zugangswegen etabliert</w:t>
      </w:r>
    </w:p>
    <w:p>
      <w:r>
        <w:rPr>
          <w:i/>
          <w:color w:val="666666"/>
          <w:sz w:val="18"/>
        </w:rPr>
        <w:t>Padovani A et al.  ·  Neurol Sci  ·  09.10.2026  ·  PMID 42850455</w:t>
      </w:r>
    </w:p>
    <w:p>
      <w:r>
        <w:t>RAND/UCLA-Konsens von 30 Experten in Italien zu System-Level-Empfehlungen für die Reorganisation der Alzheimer-Diagnostik und -Therapie im Zeitalter krankheitsmodifizierender Therapien: 3 Befragungsrunden zu 55 Aussagen über 9 Versorgungsbereiche.</w:t>
      </w:r>
    </w:p>
    <w:p>
      <w:r>
        <w:rPr>
          <w:b/>
        </w:rPr>
        <w:t xml:space="preserve">Ergebnis: </w:t>
      </w:r>
      <w:r>
        <w:t>Konsens wurde für alle 55 Aussagen erreicht mit hoher Bewertung der Angemessenheit und Implementierungspriorität. Es wurde ein regionalnetzbasiertes Modell mit definierten Zugangswegen aus der Hausarztpraxis entwickelt: Nicht-gebrechliche Patienten zur diagnostischen Bewertung an Spoke-Zentren, potentiell therapiegeeignete an Hub-Zentren zur Bestätigung und multidisziplinären Bewertung. Standardisierte neuropsychologische und neuroradiologische Protokolle für Amyloid-assoziierte Bildgebungsanomalien (ARIA), progressive Adoption von Plasma-Biomarkern, Telemedizin und strukturierter Patientenaufklärung definiert.</w:t>
      </w:r>
    </w:p>
    <w:p>
      <w:r>
        <w:rPr>
          <w:b/>
          <w:sz w:val="19"/>
        </w:rPr>
        <w:t xml:space="preserve">Übertragbarkeit: </w:t>
      </w:r>
      <w:r>
        <w:rPr>
          <w:sz w:val="19"/>
        </w:rPr>
        <w:t>Italien, Konsens-Verfahren – vergleichbares Sozialversicherungssystem, direkter Transfer der Netzwerk-Architektur</w:t>
      </w:r>
    </w:p>
    <w:p>
      <w:r>
        <w:rPr>
          <w:color w:val="5A7D3A"/>
          <w:sz w:val="18"/>
        </w:rPr>
        <w:t>https://pubmed.ncbi.nlm.nih.gov/42850455/</w:t>
      </w:r>
    </w:p>
    <w:p>
      <w:pPr>
        <w:pStyle w:val="Heading2"/>
      </w:pPr>
      <w:r>
        <w:t>Roadmap für die Evidenzreife von Biomarkern in der Psychiatrie: von Entdeckung zu Klinikanwendung</w:t>
      </w:r>
    </w:p>
    <w:p>
      <w:r>
        <w:rPr>
          <w:i/>
          <w:color w:val="666666"/>
          <w:sz w:val="18"/>
        </w:rPr>
        <w:t>Baune BT  ·  Lancet Psychiatry  ·  05.10.2026  ·  PMID 42833240</w:t>
      </w:r>
    </w:p>
    <w:p>
      <w:r>
        <w:t>Personal View zur Konzeptualisierung einer Translation Evidence Map (TEM) zur Bewertung von Ansprüchen in der Präzisionspsychiatrie: Die Map stuft Aussagen von Level 0 (Anwendungsfall oder Entdeckungs-Statement) bis Level 6 (Post-Deployment-Monitoring) auf Basis von Messzuverlässigkeit, generalisierbarer Inferenz, Entscheidungswert, sicherer Umsetzung und Proportionalität zu Risiko, Bedarf und Untätigkeit.</w:t>
      </w:r>
    </w:p>
    <w:p>
      <w:r>
        <w:rPr>
          <w:b/>
        </w:rPr>
        <w:t xml:space="preserve">Ergebnis: </w:t>
      </w:r>
      <w:r>
        <w:t>Das Konzept definiert explizit: Level 0=Definition des Use Case, Level 1=Proof-of-Concept, Level 2=Validierung in repräsentativen Kohorten, Level 3=Vorhersage-Modell-Qualifizierung, Level 4=Regulatorische Zulassung, Level 5=klinische Implementierung, Level 6=Monitoring post-Deployment. Die Map identifiziert die höchstverteidigarste Aussage über Komponenten mit ungleicher Reife und den nächsten Evidenzschritt. Beispiele: entzündliche und ziruitbasierte Depressionsschichtung, Psychose-Rezidiv-Überwachung, Suizidalität-Überwachung.</w:t>
      </w:r>
    </w:p>
    <w:p>
      <w:r>
        <w:rPr>
          <w:b/>
          <w:sz w:val="19"/>
        </w:rPr>
        <w:t xml:space="preserve">Übertragbarkeit: </w:t>
      </w:r>
      <w:r>
        <w:rPr>
          <w:sz w:val="19"/>
        </w:rPr>
        <w:t>Deutschland, Universität Münster – konzeptioneller Rahmen zur Bewertung von Biomarker-Implementierungen im deutschsprachigen Raum</w:t>
      </w:r>
    </w:p>
    <w:p>
      <w:r>
        <w:rPr>
          <w:color w:val="5A7D3A"/>
          <w:sz w:val="18"/>
        </w:rPr>
        <w:t>https://pubmed.ncbi.nlm.nih.gov/42833240/</w:t>
      </w:r>
    </w:p>
    <w:p>
      <w:pPr>
        <w:pStyle w:val="Heading1"/>
      </w:pPr>
      <w:r>
        <w:t>Aufgenommen am 19.10.2026</w:t>
      </w:r>
    </w:p>
    <w:p>
      <w:pPr>
        <w:pStyle w:val="Heading2"/>
      </w:pPr>
      <w:r>
        <w:t>Metakognitive Therapie für Zwangsstörung in Pakistan: Symptomreduktion stärker als Standardversorgung</w:t>
      </w:r>
    </w:p>
    <w:p>
      <w:r>
        <w:rPr>
          <w:i/>
          <w:color w:val="666666"/>
          <w:sz w:val="18"/>
        </w:rPr>
        <w:t>Anwar S et al.  ·  Depress Anxiety  ·  15.10.2026  ·  PMID 42890135</w:t>
      </w:r>
    </w:p>
    <w:p>
      <w:r>
        <w:t>Multizentrische RCT mit 76 Erwachsenen mit Zwangsstörung in pakistanischen ambulanten Diensten, randomisiert auf 12 Wochensitzungen metakognitive Therapie (MCT, n=38) oder dokumentierte Standardversorgung (TAU, n=38); Messung von Yale-Brown Obsessive-Compulsive Scale und Metacognitions Questionnaire über Baseline, Post-Treatment und 6-Monat-Follow-up.</w:t>
      </w:r>
    </w:p>
    <w:p>
      <w:r>
        <w:rPr>
          <w:b/>
        </w:rPr>
        <w:t xml:space="preserve">Ergebnis: </w:t>
      </w:r>
      <w:r>
        <w:t>MCT führte zu stärkeren Reduktionen in Zwangsstörungs-Schweregrad als TAU (F(1,81; 134)=11,30; p&lt;0,001), mit mittleren Differenzen von -4,00 bei Post-Treatment und -6,92 bei Follow-up (beide p&lt;0,001); häufigere Behandlungsresponse bei MCT; metakognitive Überzeugungen wurden reduziert und Gewinne bei Follow-up erhalten; der vorspezifizierte indirekte Effekt durch Post-Treatment-Überzeugungen wurde jedoch nicht unterstützt (β=-0,01).</w:t>
      </w:r>
    </w:p>
    <w:p>
      <w:r>
        <w:rPr>
          <w:b/>
          <w:sz w:val="19"/>
        </w:rPr>
        <w:t xml:space="preserve">Übertragbarkeit: </w:t>
      </w:r>
      <w:r>
        <w:rPr>
          <w:sz w:val="19"/>
        </w:rPr>
        <w:t>Nicht-westlicher Kontext mit Validierung in Low-Ressourcen-Setting – Generalisierbarkeit auf Deutschland unsicher</w:t>
      </w:r>
    </w:p>
    <w:p>
      <w:r>
        <w:rPr>
          <w:color w:val="5A7D3A"/>
          <w:sz w:val="18"/>
        </w:rPr>
        <w:t>https://pubmed.ncbi.nlm.nih.gov/42890135/</w:t>
      </w:r>
    </w:p>
    <w:p>
      <w:pPr>
        <w:pStyle w:val="Heading2"/>
      </w:pPr>
      <w:r>
        <w:t>Reisen im Alter: Explorationen senken Angst, Nostalgisches stärkt Lebenssinn</w:t>
      </w:r>
    </w:p>
    <w:p>
      <w:r>
        <w:rPr>
          <w:i/>
          <w:color w:val="666666"/>
          <w:sz w:val="18"/>
        </w:rPr>
        <w:t>Li R et al.  ·  Medicine (Baltimore)  ·  16.10.2026  ·  PMID 42888552</w:t>
      </w:r>
    </w:p>
    <w:p>
      <w:r>
        <w:t>Prospektive Kohortenstudie mit 5.482 älteren Erwachsenen aus Südchina; Latente Klassenanalyse klassifizierte Teilnehmer nach Reisemotivation (Nostalgie-dominant, Explorations-dominant, gemischt-aktiv, inaktiv); Angst und Sinn im Leben wurden in Nachfolgeuntersuchung gemessen; lineare Regression, Strukturgleichungsmodellierung und Subgruppenanalysen angewandt.</w:t>
      </w:r>
    </w:p>
    <w:p>
      <w:r>
        <w:rPr>
          <w:b/>
        </w:rPr>
        <w:t xml:space="preserve">Ergebnis: </w:t>
      </w:r>
      <w:r>
        <w:t>Gemischte aktive Reisen waren am stärksten mit niedrigeren Angststufen assoziiert (β=-1,22; 95%-KI -1,55 bis -0,89) und höheren Sinn-im-Leben-Werten (β=0,58; 95%-KI 0,35 bis 0,81); Explorations-dominante Reisen signifikant mit niedrigeren Angststufen (β=-0,92; 95%-KI -1,24 bis -0,60), 33,7% der Assoziation durch psychologisches Kapital vermittelt; Nostalgie-dominante Reisen mit höherem Sinn im Leben (β=0,27; 95%-KI 0,05 bis 0,49), Selbstkontinuität vermittelte Assoziation; Assoziation zwischen aktiver Reise und niedriger Angst stärker bei älteren Erwachsenen mit niedriger sozialer Unterstützung.</w:t>
      </w:r>
    </w:p>
    <w:p>
      <w:r>
        <w:rPr>
          <w:b/>
          <w:sz w:val="19"/>
        </w:rPr>
        <w:t xml:space="preserve">Übertragbarkeit: </w:t>
      </w:r>
      <w:r>
        <w:rPr>
          <w:sz w:val="19"/>
        </w:rPr>
        <w:t>China – Versorgungskontext unterscheidet sich; aber Befunde zu Freizeitaktivitäten und psychischem Wohlbefinden können für präventive Interventionen in Deutschland relevant sein</w:t>
      </w:r>
    </w:p>
    <w:p>
      <w:r>
        <w:rPr>
          <w:color w:val="5A7D3A"/>
          <w:sz w:val="18"/>
        </w:rPr>
        <w:t>https://pubmed.ncbi.nlm.nih.gov/42888552/</w:t>
      </w:r>
    </w:p>
    <w:p>
      <w:pPr>
        <w:pStyle w:val="Heading2"/>
      </w:pPr>
      <w:r>
        <w:t>Gefängnispersonal in Kanada: Frauen haben weniger Stigma, höhere Hilfeinanspruchnahme</w:t>
      </w:r>
    </w:p>
    <w:p>
      <w:r>
        <w:rPr>
          <w:i/>
          <w:color w:val="666666"/>
          <w:sz w:val="18"/>
        </w:rPr>
        <w:t>Ricciardelli R et al.  ·  BMC Psychol  ·  22.07.2026  ·  PMID 42888455</w:t>
      </w:r>
    </w:p>
    <w:p>
      <w:r>
        <w:t>Nationale Querschnittsstudie mit 3.740 Justizbeamten aus allen kanadischen Provinz- und Territorialstrafvollzugsdiensten; Messung von psychischer Gesundheitskompetenz, Stigma und Intention zur Inanspruchnahme von Diensten stratifiziert nach Demografie, Berufsgruppe und früherer Diagnose einer psychischen Störung.</w:t>
      </w:r>
    </w:p>
    <w:p>
      <w:r>
        <w:rPr>
          <w:b/>
        </w:rPr>
        <w:t xml:space="preserve">Ergebnis: </w:t>
      </w:r>
      <w:r>
        <w:t>Frauen berichteten signifikant höhere psychische Gesundheitskompetenz und Inanspruchnahmeabsicht sowie niedrigeres Stigma als Männer (alle p&lt;0,001; Cohen's d Wissensunterschiede -0,31, Stigma 0,44, Inanspruchnahme -0,23); jüngere Arbeitskräfte zeigten niedrigeres Stigma (p&lt;0,01, η²=0,013), 21-29-Jährige niedrigere Inanspruchnahmeabsicht als ältere Gruppen; höhere Bildung mit höherer Kompetenz und niedrigerem Stigma (p&lt;0,001; η²=0,028 bzw. 0,026) assoziiert; signifikante provinziale/territoriale und berufliche Unterschiede beobachtet.</w:t>
      </w:r>
    </w:p>
    <w:p>
      <w:r>
        <w:rPr>
          <w:b/>
          <w:sz w:val="19"/>
        </w:rPr>
        <w:t xml:space="preserve">Übertragbarkeit: </w:t>
      </w:r>
      <w:r>
        <w:rPr>
          <w:sz w:val="19"/>
        </w:rPr>
        <w:t>Kanada – vergleichbares englischsprachiges System, aber unterschiedliche Gefängnisorganisation</w:t>
      </w:r>
    </w:p>
    <w:p>
      <w:r>
        <w:rPr>
          <w:color w:val="5A7D3A"/>
          <w:sz w:val="18"/>
        </w:rPr>
        <w:t>https://pubmed.ncbi.nlm.nih.gov/42888455/</w:t>
      </w:r>
    </w:p>
    <w:p>
      <w:pPr>
        <w:pStyle w:val="Heading2"/>
      </w:pPr>
      <w:r>
        <w:t>Amygdala-Neurofeedback zusätzlich zu DBT bei Borderline-Störung: keine zusätzliche klinische Wirkung</w:t>
      </w:r>
    </w:p>
    <w:p>
      <w:r>
        <w:rPr>
          <w:i/>
          <w:color w:val="666666"/>
          <w:sz w:val="18"/>
        </w:rPr>
        <w:t>Hofmanová M et al.  ·  BMC Psychiatry  ·  16.10.2026  ·  PMID 42888408</w:t>
      </w:r>
    </w:p>
    <w:p>
      <w:r>
        <w:t>Randomisierte Pilotstudie an 36 Patienten mit Borderline-Persönlichkeitsstörung und residualen Symptomen, die während einer stationären dialektischen Verhaltenstherapie (DBT) entweder zusätzlich eine Echtzeit-fMRI-Amygdala-Neurofeedback-Intervention oder nur DBT erhielten; Messung der Veränderungen in alltäglicher affektiver Instabilität über 6 Monate.</w:t>
      </w:r>
    </w:p>
    <w:p>
      <w:r>
        <w:rPr>
          <w:b/>
        </w:rPr>
        <w:t xml:space="preserve">Ergebnis: </w:t>
      </w:r>
      <w:r>
        <w:t>Teilnehmer regulierten erfolgreich die Amygdala-Aktivität herunter und zeigten Verbesserungen in negativem Affekt und affektiver Instabilität über die Zeit, aber die Amygdala-Neurofeedback-Gruppe zeigte keine konsistente Überlegenheit gegenüber der Kontrollgruppe in den Selbstberichten oder den primären BSL-23-Ergebnissen, die nach Entlassung in beiden Gruppen anstiegen. Die neuroimaging-Befunde deuteten auf vorübergehende Reduktionen der Amygdala-Aktivität und stabilere Reaktivität über Zeit hin, ohne dass sich dies in stärkere klinische Gewinne übersetzt hätte.</w:t>
      </w:r>
    </w:p>
    <w:p>
      <w:r>
        <w:rPr>
          <w:b/>
          <w:sz w:val="19"/>
        </w:rPr>
        <w:t xml:space="preserve">Übertragbarkeit: </w:t>
      </w:r>
      <w:r>
        <w:rPr>
          <w:sz w:val="19"/>
        </w:rPr>
        <w:t>Deutschland – deutsche Universitätskliniken mit vergleichbarem Forschungsstandard</w:t>
      </w:r>
    </w:p>
    <w:p>
      <w:r>
        <w:rPr>
          <w:color w:val="5A7D3A"/>
          <w:sz w:val="18"/>
        </w:rPr>
        <w:t>https://pubmed.ncbi.nlm.nih.gov/42888408/</w:t>
      </w:r>
    </w:p>
    <w:p>
      <w:pPr>
        <w:pStyle w:val="Heading2"/>
      </w:pPr>
      <w:r>
        <w:t>Nach Schlaganfall kognitiven Abbau verhindern: viele Interventionen wirken, Evidenzqualität niedrig</w:t>
      </w:r>
    </w:p>
    <w:p>
      <w:r>
        <w:rPr>
          <w:i/>
          <w:color w:val="666666"/>
          <w:sz w:val="18"/>
        </w:rPr>
        <w:t>Tang EYH et al.  ·  Eur Stroke J  ·  05.10.2026  ·  PMID 42886840</w:t>
      </w:r>
    </w:p>
    <w:p>
      <w:r>
        <w:t>Umbrella-Review von systematischen Übersichten mit Daten aus 747 RCTs (57.176 Teilnehmer) zu pharmakologischen und nicht-pharmakologischen Interventionen für kognitiven Abbau nach Schlaganfall; Messung von globaler Kognition (z.B. Mini-Mental State Examination) über alle Schlaganfallschweregrade.</w:t>
      </w:r>
    </w:p>
    <w:p>
      <w:r>
        <w:rPr>
          <w:b/>
        </w:rPr>
        <w:t xml:space="preserve">Ergebnis: </w:t>
      </w:r>
      <w:r>
        <w:t>69 systematische Übersichten eingeschlossen; die meisten Interventionstypen (37 Kategorien, einzelne und kombinierte Modalitäten wie Akupunktur, Bewegung, kognitive Rehabilitation) waren mit statistisch signifikanten Verbesserungen der globalen Kognition assoziiert; erhebliche Heterogenität und breite Vorhersageintervalle deuten darauf hin, dass Effektgrößen zwischen Populationen und Settings erheblich variieren; die meisten eingeschlossenen Übersichten hatten kritisch niedrige Qualität mit methodischen Einschränkungen (AMSTAR2).</w:t>
      </w:r>
    </w:p>
    <w:p>
      <w:r>
        <w:rPr>
          <w:b/>
          <w:sz w:val="19"/>
        </w:rPr>
        <w:t xml:space="preserve">Übertragbarkeit: </w:t>
      </w:r>
      <w:r>
        <w:rPr>
          <w:sz w:val="19"/>
        </w:rPr>
        <w:t>UK-geleitet – europäische Schlaganfallversorgung, aber: Vertrauensgrad in Evidenz niedrig</w:t>
      </w:r>
    </w:p>
    <w:p>
      <w:r>
        <w:rPr>
          <w:color w:val="5A7D3A"/>
          <w:sz w:val="18"/>
        </w:rPr>
        <w:t>https://pubmed.ncbi.nlm.nih.gov/42886840/</w:t>
      </w:r>
    </w:p>
    <w:p>
      <w:pPr>
        <w:pStyle w:val="Heading2"/>
      </w:pPr>
      <w:r>
        <w:t>Imagery Rescripting gegen Abhängigkeit in Gewaltbeziehungen: signifikante Verbesserung</w:t>
      </w:r>
    </w:p>
    <w:p>
      <w:r>
        <w:rPr>
          <w:i/>
          <w:color w:val="666666"/>
          <w:sz w:val="18"/>
        </w:rPr>
        <w:t>Pugliese E et al.  ·  Clin Psychol Psychother  ·  Sept. 2026  ·  PMID 42786889</w:t>
      </w:r>
    </w:p>
    <w:p>
      <w:r>
        <w:t>Proof-of-Concept-Studie mit 18 Frauen als Überlebende von Partnergewalt, die eine 13-Session-Intervention (Imagery Rescripting für Pathologische Affektive Abhängigkeit) in italienischen Anti-Gewalt-Diensten erhielten; gemessen wurden Abhängigkeitssymptome, Rückkehrabsicht zur missbräuchlichen Beziehung, Traumasymptome und Resilienz.</w:t>
      </w:r>
    </w:p>
    <w:p>
      <w:r>
        <w:rPr>
          <w:b/>
        </w:rPr>
        <w:t xml:space="preserve">Ergebnis: </w:t>
      </w:r>
      <w:r>
        <w:t>Signifikante Reduktionen in Pathologischer Affektiver Abhängigkeit (p&lt;0,05), Beziehungsverpflichtung und Absicht zur Rückkehr über den Behandlungsverlauf; Verbesserungen in Traumasymptomen (p&lt;0,05), psychologischem Wohlbefinden und Resilienz von Baseline bis Post-Treatment; Veränderungen in den primären relationalen Outcomes und Resilienz blieben nach 1-Monat-Nachuntersuchung weitgehend erhalten, während Traumasymptome leicht abnahmen, aber signifikant verbessert gegenüber Baseline blieben.</w:t>
      </w:r>
    </w:p>
    <w:p>
      <w:r>
        <w:rPr>
          <w:b/>
          <w:sz w:val="19"/>
        </w:rPr>
        <w:t xml:space="preserve">Übertragbarkeit: </w:t>
      </w:r>
      <w:r>
        <w:rPr>
          <w:sz w:val="19"/>
        </w:rPr>
        <w:t>Italien – vergleichbarer europäischer Versorgungskontext in Anti-Gewalt-Diensten</w:t>
      </w:r>
    </w:p>
    <w:p>
      <w:r>
        <w:rPr>
          <w:color w:val="5A7D3A"/>
          <w:sz w:val="18"/>
        </w:rPr>
        <w:t>https://pubmed.ncbi.nlm.nih.gov/42786889/</w:t>
      </w:r>
    </w:p>
    <w:p>
      <w:pPr>
        <w:pStyle w:val="Heading1"/>
      </w:pPr>
      <w:r>
        <w:t>Aufgenommen am 18.10.2026</w:t>
      </w:r>
    </w:p>
    <w:p>
      <w:pPr>
        <w:pStyle w:val="Heading2"/>
      </w:pPr>
      <w:r>
        <w:t>Cybermobbing als Mediator: Warum Social Media für Minderheitsgeschlecht gefährlicher ist</w:t>
      </w:r>
    </w:p>
    <w:p>
      <w:r>
        <w:rPr>
          <w:i/>
          <w:color w:val="666666"/>
          <w:sz w:val="18"/>
        </w:rPr>
        <w:t>Pu Y et al.  ·  J Res Adolesc  ·  Dez. 2026  ·  PMID 42888917</w:t>
      </w:r>
    </w:p>
    <w:p>
      <w:r>
        <w:t>US-Querschnittstudie mit 12.773 Jugendlichen aus der Youth Risk Behavior Survey 2023 zu Assoziation zwischen Social-Media-Nutzung, Cybermobbing und psychischen Belastungen (Traurigkeit, Suizidgedanken), stratifiziert nach sexueller Orientierung und Geschlechtsidentität.</w:t>
      </w:r>
    </w:p>
    <w:p>
      <w:r>
        <w:rPr>
          <w:b/>
        </w:rPr>
        <w:t xml:space="preserve">Ergebnis: </w:t>
      </w:r>
      <w:r>
        <w:t>Assoziation zwischen höherer Social-Media-Nutzung und Suizidgedanken wurde größtenteils durch Cybermobbing erklärt. Sexuelle und geschlechtliche Minderheiten erlebten trotz gleicher Nutzungshäufigkeit mehr Cybermobbing und stärkere mentale Auswirkungen (Minoritäts-Stress-Prozess): Das Risiko psychischer Belastung war bei identischem Online-Verhalten für diese Gruppen höher.</w:t>
      </w:r>
    </w:p>
    <w:p>
      <w:r>
        <w:rPr>
          <w:b/>
          <w:sz w:val="19"/>
        </w:rPr>
        <w:t xml:space="preserve">Übertragbarkeit: </w:t>
      </w:r>
      <w:r>
        <w:rPr>
          <w:sz w:val="19"/>
        </w:rPr>
        <w:t>USA, aber Mechanismus (Minderheits-Stress durch Diskriminierung) ist universell und relevant für deutsche Prävention bei vulnerablen Jugendlichen online.</w:t>
      </w:r>
    </w:p>
    <w:p>
      <w:r>
        <w:rPr>
          <w:color w:val="5A7D3A"/>
          <w:sz w:val="18"/>
        </w:rPr>
        <w:t>https://pubmed.ncbi.nlm.nih.gov/42888917/</w:t>
      </w:r>
    </w:p>
    <w:p>
      <w:pPr>
        <w:pStyle w:val="Heading2"/>
      </w:pPr>
      <w:r>
        <w:t>Glücksspielstörung: Komorbidität und Behandlungszugang in Schweden</w:t>
      </w:r>
    </w:p>
    <w:p>
      <w:r>
        <w:rPr>
          <w:i/>
          <w:color w:val="666666"/>
          <w:sz w:val="18"/>
        </w:rPr>
        <w:t>Håkansson A et al.  ·  Harm Reduct J  ·  16.10.2026  ·  PMID 42888425</w:t>
      </w:r>
    </w:p>
    <w:p>
      <w:r>
        <w:t>Retrospektive Register- und Klinikkartenstudie zu 1.200 Patienten an einer spezialisierten Behandlungseinheit für Glücksspielstörung in Malmö (2015–2025), die physische und psychiatrische Komorbiditäten sowie vorherige Kontakte zum Gesundheitssystem dokumentiert.</w:t>
      </w:r>
    </w:p>
    <w:p>
      <w:r>
        <w:rPr>
          <w:b/>
        </w:rPr>
        <w:t xml:space="preserve">Ergebnis: </w:t>
      </w:r>
      <w:r>
        <w:t>Etwa 32 % der Patienten hatten zuvor formale Ausbildung in psychischer Gesundheitsversorgung für kritisch Kranke erhalten; 79 % berichteten, besser auf solche Situationen vorbereitet sein zu könnten durch zusätzliche Ausbildung. Die Studie wird Kontaktmuster vor Behandlung abbilden, um frühere Erkennung in anderen Versorgungssettings zu ermöglichen.</w:t>
      </w:r>
    </w:p>
    <w:p>
      <w:r>
        <w:rPr>
          <w:b/>
          <w:sz w:val="19"/>
        </w:rPr>
        <w:t xml:space="preserve">Übertragbarkeit: </w:t>
      </w:r>
      <w:r>
        <w:rPr>
          <w:sz w:val="19"/>
        </w:rPr>
        <w:t>Schweden, ähnliches Versicherungssystem; Glücksspiel ist Suchtversorgung mit Eigenfinanzierung.</w:t>
      </w:r>
    </w:p>
    <w:p>
      <w:r>
        <w:rPr>
          <w:color w:val="5A7D3A"/>
          <w:sz w:val="18"/>
        </w:rPr>
        <w:t>https://pubmed.ncbi.nlm.nih.gov/42888425/</w:t>
      </w:r>
    </w:p>
    <w:p>
      <w:pPr>
        <w:pStyle w:val="Heading2"/>
      </w:pPr>
      <w:r>
        <w:t>Partizipation von Betroffenen in Versorgungsforschung: Lernprozesse und Hürden</w:t>
      </w:r>
    </w:p>
    <w:p>
      <w:r>
        <w:rPr>
          <w:i/>
          <w:color w:val="666666"/>
          <w:sz w:val="18"/>
        </w:rPr>
        <w:t>Fox J et al.  ·  Health Expect  ·  Okt. 2026  ·  PMID 42886175</w:t>
      </w:r>
    </w:p>
    <w:p>
      <w:r>
        <w:t>Qualitative Fallstudie über 7 Jahre hinweg in England zur Zusammenarbeit zwischen Forschungsteam und Lived-Experience-Panel bei der Entwicklung einer Intervention für psychische Erkrankungen, mit Workshops und Reflexionsgruppen.</w:t>
      </w:r>
    </w:p>
    <w:p>
      <w:r>
        <w:rPr>
          <w:b/>
        </w:rPr>
        <w:t xml:space="preserve">Ergebnis: </w:t>
      </w:r>
      <w:r>
        <w:t>Partizipation bewirkte tangible Veränderungen an Studie und Intervention; Erfolg hing ab von Teamdynamik, stabiler Zusammensetzung des Panels und regelmäßiger reflexiver Lernprozesse. Konflikte in der Zusammenarbeit ('choppy waters') waren normal, erforderten aber Offenheit und Flexibilität zur positiven Auflösung.</w:t>
      </w:r>
    </w:p>
    <w:p>
      <w:r>
        <w:rPr>
          <w:b/>
          <w:sz w:val="19"/>
        </w:rPr>
        <w:t xml:space="preserve">Übertragbarkeit: </w:t>
      </w:r>
      <w:r>
        <w:rPr>
          <w:sz w:val="19"/>
        </w:rPr>
        <w:t>Großbritannien, ähnliche Versorgungsinfrastruktur; zeigt, wie Betroffenenpartizipation in Versorgung strukturiert und unterstützt werden kann.</w:t>
      </w:r>
    </w:p>
    <w:p>
      <w:r>
        <w:rPr>
          <w:color w:val="5A7D3A"/>
          <w:sz w:val="18"/>
        </w:rPr>
        <w:t>https://pubmed.ncbi.nlm.nih.gov/42886175/</w:t>
      </w:r>
    </w:p>
    <w:p>
      <w:pPr>
        <w:pStyle w:val="Heading2"/>
      </w:pPr>
      <w:r>
        <w:t>Off-Label-Verschreibungen in der Psychiatrie: Datengestützte Früherkennung</w:t>
      </w:r>
    </w:p>
    <w:p>
      <w:r>
        <w:rPr>
          <w:i/>
          <w:color w:val="666666"/>
          <w:sz w:val="18"/>
        </w:rPr>
        <w:t>Chevallier E et al.  ·  JMIR Form Res  ·  29.09.2026  ·  PMID 42809830</w:t>
      </w:r>
    </w:p>
    <w:p>
      <w:r>
        <w:t>Französische Machbarkeitsstudie zu automatisierter Detektion von Off-Label-Verschreibungen in der Psychiatrie mittels klinischer Datenbasis; 197 Patientenakten wurden analysiert, der Computer identifizierte 14 Wirkstoff-Diagnose-Kombinationen.</w:t>
      </w:r>
    </w:p>
    <w:p>
      <w:r>
        <w:rPr>
          <w:b/>
        </w:rPr>
        <w:t xml:space="preserve">Ergebnis: </w:t>
      </w:r>
      <w:r>
        <w:t>Gesamtpräzision (positive Vorhersagekraft) für Off-Label-Situationen: 51,3 % (101/197). Bei breiter Diagnose: 84,8 % (167/197). Hauptproblem waren zeitliche Diskrepanzen (48,7 % falsch klassifiziert) – z.B. Medikamenten vor oder nach dem Indexaufenthalt verabreicht. System eignet sich als sensitiver Vorfilter, erfordert aber Fachvalidation.</w:t>
      </w:r>
    </w:p>
    <w:p>
      <w:r>
        <w:rPr>
          <w:b/>
          <w:sz w:val="19"/>
        </w:rPr>
        <w:t xml:space="preserve">Übertragbarkeit: </w:t>
      </w:r>
      <w:r>
        <w:rPr>
          <w:sz w:val="19"/>
        </w:rPr>
        <w:t>Frankreich, vergleichbare Datenstruktur; zeigt, dass automatisierte Flaggung möglich ist, aber menschliche Expertise nicht ersetzen kann.</w:t>
      </w:r>
    </w:p>
    <w:p>
      <w:r>
        <w:rPr>
          <w:color w:val="5A7D3A"/>
          <w:sz w:val="18"/>
        </w:rPr>
        <w:t>https://pubmed.ncbi.nlm.nih.gov/42809830/</w:t>
      </w:r>
    </w:p>
    <w:p>
      <w:pPr>
        <w:pStyle w:val="Heading2"/>
      </w:pPr>
      <w:r>
        <w:t>Psychische Belastung bei bekanntem medizinischen Risiko: Keine Mehrbelastung bei Aortenerweiterung</w:t>
      </w:r>
    </w:p>
    <w:p>
      <w:r>
        <w:rPr>
          <w:i/>
          <w:color w:val="666666"/>
          <w:sz w:val="18"/>
        </w:rPr>
        <w:t>Nilsson F et al.  ·  BMC Cardiovasc Disord  ·  21.09.2026  ·  PMID 42768306</w:t>
      </w:r>
    </w:p>
    <w:p>
      <w:r>
        <w:t>Schwedische Bevölkerungsstudie mit 67 Patienten mit Aortenerweiterung ≥40 mm und 50 Kontrollpersonen aus 5.053 Einwohnern; Lebensqualität, psychische Belastung und körperliche Aktivität wurden erfasst.</w:t>
      </w:r>
    </w:p>
    <w:p>
      <w:r>
        <w:rPr>
          <w:b/>
        </w:rPr>
        <w:t xml:space="preserve">Ergebnis: </w:t>
      </w:r>
      <w:r>
        <w:t>Keine signifikanten Unterschiede in Lebensqualität (p &gt; 0,05), Angst (p = 0,228) oder Depression (p = 0,307) zwischen Patienten und Kontrollen. Wahrgenommener Stress unterschied sich marginal (p = 0,096). Körperliche Kapazität und Aktivität unterschieden sich nicht (p &gt; 0,17). Aortendurchmesser zeigte keine Korrelation mit Stress, Angst oder Depression.</w:t>
      </w:r>
    </w:p>
    <w:p>
      <w:r>
        <w:rPr>
          <w:b/>
          <w:sz w:val="19"/>
        </w:rPr>
        <w:t xml:space="preserve">Übertragbarkeit: </w:t>
      </w:r>
      <w:r>
        <w:rPr>
          <w:sz w:val="19"/>
        </w:rPr>
        <w:t>Schweden, populationsbasierte Kohortendaten; zeigt, dass allein das Wissen um ein asymptomatisches Risiko nicht zu klinisch relevanter psychischer Belastung führt.</w:t>
      </w:r>
    </w:p>
    <w:p>
      <w:r>
        <w:rPr>
          <w:color w:val="5A7D3A"/>
          <w:sz w:val="18"/>
        </w:rPr>
        <w:t>https://pubmed.ncbi.nlm.nih.gov/42768306/</w:t>
      </w:r>
    </w:p>
    <w:p>
      <w:pPr>
        <w:pStyle w:val="Heading2"/>
      </w:pPr>
      <w:r>
        <w:t>Schlaftherapie in der Gruppe: CBT-I senkt Einschlaflatenz um 20 Minuten</w:t>
      </w:r>
    </w:p>
    <w:p>
      <w:r>
        <w:rPr>
          <w:i/>
          <w:color w:val="666666"/>
          <w:sz w:val="18"/>
        </w:rPr>
        <w:t>Pérez-Manchón D et al.  ·  JMIR Hum Factors  ·  16.09.2026  ·  PMID 42748363</w:t>
      </w:r>
    </w:p>
    <w:p>
      <w:r>
        <w:t>Spanische Pilotstudie mit 40 Pflegestudierenden (Alter 18–25 Jahre), randomisiert zu Gruppen-CBT-I (n=20) oder Kontrolle (n=20) über 6 Wochen; objektive Messung mit Actigraphie und subjektive Schlafqualität nach PSQI.</w:t>
      </w:r>
    </w:p>
    <w:p>
      <w:r>
        <w:rPr>
          <w:b/>
        </w:rPr>
        <w:t xml:space="preserve">Ergebnis: </w:t>
      </w:r>
      <w:r>
        <w:t>Behandlungseffekt auf Einschlaflatenz: β = -19,78 min (95%-KI -33,83 bis -5,74), partielles η² = 0,194. Schlafdauer: β = 36,32 min (95%-KI -5,01 bis 77,64), η² = 0,086. Schlafeffizienz: β = 8,75% (95%-KI -0,97 bis 18,47), η² = 0,090. 65% der Interventionsgruppe bewerteten Programm als 'sehr gut'. Objektive zirkadiane Effekte eher klein.</w:t>
      </w:r>
    </w:p>
    <w:p>
      <w:r>
        <w:rPr>
          <w:b/>
          <w:sz w:val="19"/>
        </w:rPr>
        <w:t xml:space="preserve">Übertragbarkeit: </w:t>
      </w:r>
      <w:r>
        <w:rPr>
          <w:sz w:val="19"/>
        </w:rPr>
        <w:t>Spanien, aber CBT-I ist evidence-basierte Standardbehandlung; kleine Fallzahl und methodische Grenzen bleiben.</w:t>
      </w:r>
    </w:p>
    <w:p>
      <w:r>
        <w:rPr>
          <w:color w:val="5A7D3A"/>
          <w:sz w:val="18"/>
        </w:rPr>
        <w:t>https://pubmed.ncbi.nlm.nih.gov/42748363/</w:t>
      </w:r>
    </w:p>
    <w:p>
      <w:pPr>
        <w:pStyle w:val="Heading2"/>
      </w:pPr>
      <w:r>
        <w:t>Supervision als Wirkfaktor: Parallel-Prozess in der Behandlung von Persönlichkeitsstörungen</w:t>
      </w:r>
    </w:p>
    <w:p>
      <w:r>
        <w:rPr>
          <w:i/>
          <w:color w:val="666666"/>
          <w:sz w:val="18"/>
        </w:rPr>
        <w:t>Doering S et al.  ·  Psychodyn Psychiatry  ·  Sept. 2026  ·  PMID 42735083</w:t>
      </w:r>
    </w:p>
    <w:p>
      <w:r>
        <w:t>Expertenbeitrag zur Supervision in Transference-Focused Psychotherapy (TFP) bei Borderline-Persönlichkeitsstörung und beeinträchtigter Persönlichkeitsfunktionierung; Reflexion der Supervisorenfunktion und des Parallel-Prozesses.</w:t>
      </w:r>
    </w:p>
    <w:p>
      <w:r>
        <w:rPr>
          <w:b/>
        </w:rPr>
        <w:t xml:space="preserve">Ergebnis: </w:t>
      </w:r>
      <w:r>
        <w:t>Supervision ist Pflichtelement bei TFP und nutzt Videoaufzeichnungen aller Sitzungen. Der Supervisor schützt die Behandlung, übersieht externe Realität und Rahmen des Patienten, fokussiert dann auf therapeutische Beziehung (Übertragung) im Hier und Jetzt. Der Parallel-Prozess offenbart Behandlungsmuster und erzeugt affektive und kognitive Einsicht bei Kandidaten – ein bewährter Wirkfaktor für Supervisionsqualität.</w:t>
      </w:r>
    </w:p>
    <w:p>
      <w:r>
        <w:rPr>
          <w:b/>
          <w:sz w:val="19"/>
        </w:rPr>
        <w:t xml:space="preserve">Übertragbarkeit: </w:t>
      </w:r>
      <w:r>
        <w:rPr>
          <w:sz w:val="19"/>
        </w:rPr>
        <w:t>Österreich/Deutschland/Niederlande/Spanien; beschreibt Supervision als Qualitätssicherungsinstrument mit bekanntem Stellenwert auch in deutschem Versorgungssystem.</w:t>
      </w:r>
    </w:p>
    <w:p>
      <w:r>
        <w:rPr>
          <w:color w:val="5A7D3A"/>
          <w:sz w:val="18"/>
        </w:rPr>
        <w:t>https://pubmed.ncbi.nlm.nih.gov/42735083/</w:t>
      </w:r>
    </w:p>
    <w:p>
      <w:pPr>
        <w:pStyle w:val="Heading1"/>
      </w:pPr>
      <w:r>
        <w:t>Aufgenommen am 17.10.2026</w:t>
      </w:r>
    </w:p>
    <w:p>
      <w:pPr>
        <w:pStyle w:val="Heading2"/>
      </w:pPr>
      <w:r>
        <w:t>Psychose-Frühintervention: Motivierendes Engagement der Bezugspersonen verbessert Ergebnisse</w:t>
      </w:r>
    </w:p>
    <w:p>
      <w:r>
        <w:rPr>
          <w:i/>
          <w:color w:val="666666"/>
          <w:sz w:val="18"/>
        </w:rPr>
        <w:t>Greenwood K et al.  ·  Early Interv Psychiatry  ·  Okt. 2026  ·  PMID 42886668</w:t>
      </w:r>
    </w:p>
    <w:p>
      <w:r>
        <w:t>Qualitative Studie mit 15 Klinikerinnen aus Early-Intervention-in-Psychosis-Services (EIP) zur Identifikation der Kernkomponenten eines therapeutischen Motivierungs- und Engagementmodells für Bezugspersonen.</w:t>
      </w:r>
    </w:p>
    <w:p>
      <w:r>
        <w:rPr>
          <w:b/>
        </w:rPr>
        <w:t xml:space="preserve">Ergebnis: </w:t>
      </w:r>
      <w:r>
        <w:t>Das EYE-2-Modell definiert drei therapeutische Prozessthemen (Psychoedukation, motivierendes-Engagementbeziehung, frühe systemische Ansätze) und ein Ergebnis-Thema (bedeutungsvolle Recovery-Ergebnisse). 14 Implementierungs-Subthemen wurden auf Normalisierungsprozesstheorie-Konstrukte abgebildet. Das Modell wird als leicht umsetzbar bewertet und ist mit dem EIP-Ansatz hochgradig kompatibel, erfordert aber organisatorische Unterstützung und Schulung für Langzeithaltbarkeit.</w:t>
      </w:r>
    </w:p>
    <w:p>
      <w:r>
        <w:rPr>
          <w:b/>
          <w:sz w:val="19"/>
        </w:rPr>
        <w:t xml:space="preserve">Übertragbarkeit: </w:t>
      </w:r>
      <w:r>
        <w:rPr>
          <w:sz w:val="19"/>
        </w:rPr>
        <w:t>Großbritannien, NHS-Trusts, Struktur der Frühinterventionsdienste vergleichbar mit deutschen Psychose-Spezialistenteams</w:t>
      </w:r>
    </w:p>
    <w:p>
      <w:r>
        <w:rPr>
          <w:color w:val="5A7D3A"/>
          <w:sz w:val="18"/>
        </w:rPr>
        <w:t>https://pubmed.ncbi.nlm.nih.gov/42886668/</w:t>
      </w:r>
    </w:p>
    <w:p>
      <w:pPr>
        <w:pStyle w:val="Heading2"/>
      </w:pPr>
      <w:r>
        <w:t>Supported Employment für traumatisierte junge Menschen: Vertrauen in Bezugsperson fördert Engagement</w:t>
      </w:r>
    </w:p>
    <w:p>
      <w:r>
        <w:rPr>
          <w:i/>
          <w:color w:val="666666"/>
          <w:sz w:val="18"/>
        </w:rPr>
        <w:t>Peters W et al.  ·  Early Interv Psychiatry  ·  Okt. 2026  ·  PMID 42885398</w:t>
      </w:r>
    </w:p>
    <w:p>
      <w:r>
        <w:t>Qualitative Studie mit zehn traumaexponierten jungen Menschen, die Trauma-informed Individual Placement and Support (TI-IPS) in einem australischen regionalen Jugenddienst erhalten haben; Interviews zu ihren Erfahrungen.</w:t>
      </w:r>
    </w:p>
    <w:p>
      <w:r>
        <w:rPr>
          <w:b/>
        </w:rPr>
        <w:t xml:space="preserve">Ergebnis: </w:t>
      </w:r>
      <w:r>
        <w:t>Junge Menschen beschrieben Vertrauen in den TI-IPS-Mitarbeiter als entscheidend für Arbeitsmotivation. Sie berichteten, sich im Kontakt mit dem Mitarbeiter sicher zu fühlen. Sie sprachen kurz und fokussiert über Trauma mit ihrem IPS-Mitarbeiter und erlebten dies als hilfreich und unterstützend. Das Modell kann erfolgreich in Jugenddiensten integriert werden.</w:t>
      </w:r>
    </w:p>
    <w:p>
      <w:r>
        <w:rPr>
          <w:b/>
          <w:sz w:val="19"/>
        </w:rPr>
        <w:t xml:space="preserve">Übertragbarkeit: </w:t>
      </w:r>
      <w:r>
        <w:rPr>
          <w:sz w:val="19"/>
        </w:rPr>
        <w:t>Australien, aber Modell der Trauma-informierten Unterstützung bei Arbeitsintegration für deutsche Fachverbünde zwischen Psychischen-Hilfen und Eingliederung relevant</w:t>
      </w:r>
    </w:p>
    <w:p>
      <w:r>
        <w:rPr>
          <w:color w:val="5A7D3A"/>
          <w:sz w:val="18"/>
        </w:rPr>
        <w:t>https://pubmed.ncbi.nlm.nih.gov/42885398/</w:t>
      </w:r>
    </w:p>
    <w:p>
      <w:pPr>
        <w:pStyle w:val="Heading2"/>
      </w:pPr>
      <w:r>
        <w:t>Demenz-Versicherungsmodelle: Medicare Advantage und Standardversicherung zeigen ähnliche Nutzung</w:t>
      </w:r>
    </w:p>
    <w:p>
      <w:r>
        <w:rPr>
          <w:i/>
          <w:color w:val="666666"/>
          <w:sz w:val="18"/>
        </w:rPr>
        <w:t>Joseph JM et al.  ·  Health Serv Res  ·  Okt. 2026  ·  PMID 42885186</w:t>
      </w:r>
    </w:p>
    <w:p>
      <w:r>
        <w:t>Analyse der Gesundheitsleistungsnutzung in zwei US-amerikanischen Versicherungsmodellen (Medicare Advantage vs. Traditional Medicare) stratifiziert nach Demenzstatus anhand der Medicare-Current-Beneficiary-Survey 2018–2022 (N=43.995).</w:t>
      </w:r>
    </w:p>
    <w:p>
      <w:r>
        <w:rPr>
          <w:b/>
        </w:rPr>
        <w:t xml:space="preserve">Ergebnis: </w:t>
      </w:r>
      <w:r>
        <w:t>Bei Personen mit Demenz unterschied sich die Gesundheitsleistungsnutzung zwischen Versicherungsmodellen nicht signifikant für 7 von 8 Outcome-Maßen. Facharztbesuche waren in Medicare Advantage häufiger (5,2 Prozentpunkte; 95%-KI −0,1 bis 10,2). Bei Personen ohne Demenz war Medicare Advantage mit weniger Krankenhausambulanzbesuchen (−2,6; −3,7 bis −1,6) und geringerem berichtetem Bedarf für Pflegebesuche verbunden (−0,9; −1,5 bis −0,3). Effektmodifikation durch Demenzstatus nur signifikant für Facharztbesuche.</w:t>
      </w:r>
    </w:p>
    <w:p>
      <w:r>
        <w:rPr>
          <w:b/>
          <w:sz w:val="19"/>
        </w:rPr>
        <w:t xml:space="preserve">Übertragbarkeit: </w:t>
      </w:r>
      <w:r>
        <w:rPr>
          <w:sz w:val="19"/>
        </w:rPr>
        <w:t>USA, aber Befund zur vergleichbaren Nutzung unter verschiedenen Versicherungsmodellen informiert deutsche Debatte über Leistungssteuerung</w:t>
      </w:r>
    </w:p>
    <w:p>
      <w:r>
        <w:rPr>
          <w:color w:val="5A7D3A"/>
          <w:sz w:val="18"/>
        </w:rPr>
        <w:t>https://pubmed.ncbi.nlm.nih.gov/42885186/</w:t>
      </w:r>
    </w:p>
    <w:p>
      <w:pPr>
        <w:pStyle w:val="Heading2"/>
      </w:pPr>
      <w:r>
        <w:t>Nachtschicht im Gastgewerbe: Depression und Burnout verdreifachen Fehlzeitmeldungen</w:t>
      </w:r>
    </w:p>
    <w:p>
      <w:r>
        <w:rPr>
          <w:i/>
          <w:color w:val="666666"/>
          <w:sz w:val="18"/>
        </w:rPr>
        <w:t>Todorova Y et al.  ·  BMC Public Health  ·  22.07.2026  ·  PMID 42881435</w:t>
      </w:r>
    </w:p>
    <w:p>
      <w:r>
        <w:t>Querschnittstudie zur psychischen Gesundheit und Organisationsergebnissen bei 181 Arbeitskräften in Bristols Nachtgastronomie (66% unter 34 Jahren, 54% Frauen).</w:t>
      </w:r>
    </w:p>
    <w:p>
      <w:r>
        <w:rPr>
          <w:b/>
        </w:rPr>
        <w:t xml:space="preserve">Ergebnis: </w:t>
      </w:r>
      <w:r>
        <w:t>Über die Hälfte berichtete Anzeichen von Depression und/oder Burnout, ein Drittel moderate bis schwere Angststörungen. Präsentismus (bei Krankheit arbeiten) 85%, Kündigungsabsicht 40%. Angststörung (adjustierte OR 4,00; 95%-KI 1,59–10,65; p=0,004), Depression (aOR 3,44; 95%-KI 1,40–8,83; p=0,008) und Burnout (aOR 2,85; 95%-KI 1,17–7,36; p=0,024) waren mit höherer Wahrscheinlichkeit für Präsentismus assoziiert. Depression, schlechtes Wohlbefinden und Burnout waren mit niedrigerem Arbeitsengagement verbunden und erhöhten die Kündigungsabsicht.</w:t>
      </w:r>
    </w:p>
    <w:p>
      <w:r>
        <w:rPr>
          <w:b/>
          <w:sz w:val="19"/>
        </w:rPr>
        <w:t xml:space="preserve">Übertragbarkeit: </w:t>
      </w:r>
      <w:r>
        <w:rPr>
          <w:sz w:val="19"/>
        </w:rPr>
        <w:t>Großbritannien, aber Nachtschichteffekte und Präventionsbedarf in vulnerable Erwerbstätigengruppen international vergleichbar</w:t>
      </w:r>
    </w:p>
    <w:p>
      <w:r>
        <w:rPr>
          <w:color w:val="5A7D3A"/>
          <w:sz w:val="18"/>
        </w:rPr>
        <w:t>https://pubmed.ncbi.nlm.nih.gov/42881435/</w:t>
      </w:r>
    </w:p>
    <w:p>
      <w:pPr>
        <w:pStyle w:val="Heading2"/>
      </w:pPr>
      <w:r>
        <w:t>Beschäftigungstherapie in Suchtbehandlung: Teilnahme erhöht Verweildauer und Behandlungsabschluss</w:t>
      </w:r>
    </w:p>
    <w:p>
      <w:r>
        <w:rPr>
          <w:i/>
          <w:color w:val="666666"/>
          <w:sz w:val="18"/>
        </w:rPr>
        <w:t>Bardakçı MR et al.  ·  Drug Alcohol Rev  ·  Nov. 2026  ·  PMID 42881139</w:t>
      </w:r>
    </w:p>
    <w:p>
      <w:r>
        <w:t>Retrospektive Analyse von 332 stationär aufgenommenen Patienten mit Alkohol- oder Substanzkonsumstörungen in der Türkei, verglichen nach Verfügbarkeit von Beschäftigungstherapie-Angeboten (Musik, Malen, Sport).</w:t>
      </w:r>
    </w:p>
    <w:p>
      <w:r>
        <w:rPr>
          <w:b/>
        </w:rPr>
        <w:t xml:space="preserve">Ergebnis: </w:t>
      </w:r>
      <w:r>
        <w:t>In der Trainingsphase (mit Beschäftigungstherapie) zeigten Patienten signifikant längere Krankenhausaufenthalte (15,75 vs. 12,86 Tage; p&lt;0,005) und höhere Behandlungsabschlussraten (50,3% vs. 34,2%; p&lt;0,005). Die Gruppe ohne Therapieangebote hatte höhere Behandlungsmotivationswerte (p&lt;0,05), aber dies korrelierte nicht mit längerem Aufenthalt oder höheren Abschlussraten.</w:t>
      </w:r>
    </w:p>
    <w:p>
      <w:r>
        <w:rPr>
          <w:b/>
          <w:sz w:val="19"/>
        </w:rPr>
        <w:t xml:space="preserve">Übertragbarkeit: </w:t>
      </w:r>
      <w:r>
        <w:rPr>
          <w:sz w:val="19"/>
        </w:rPr>
        <w:t>Türkei, aber strukturelle Befunde zu Retention und Abschlussraten durch Aktivierungsangebote für deutsche Suchtfachverbünde übertragbar</w:t>
      </w:r>
    </w:p>
    <w:p>
      <w:r>
        <w:rPr>
          <w:color w:val="5A7D3A"/>
          <w:sz w:val="18"/>
        </w:rPr>
        <w:t>https://pubmed.ncbi.nlm.nih.gov/42881139/</w:t>
      </w:r>
    </w:p>
    <w:p>
      <w:pPr>
        <w:pStyle w:val="Heading2"/>
      </w:pPr>
      <w:r>
        <w:t>Antipsychotika-Zugang in Brasilien: Systematische Risikoanalyse in Pharmazie-Versorgung</w:t>
      </w:r>
    </w:p>
    <w:p>
      <w:r>
        <w:rPr>
          <w:i/>
          <w:color w:val="666666"/>
          <w:sz w:val="18"/>
        </w:rPr>
        <w:t>Felício LR et al.  ·  Cien Saude Colet  ·  09.10.2026  ·  PMID 42879620</w:t>
      </w:r>
    </w:p>
    <w:p>
      <w:r>
        <w:t>Risikomanagement-Analyse der Prozesse, die den Zugang zu Antipsychotika im brasilianischen SUS beeinflussen, verglichen zwischen Basis- und Spezialisierter Pharmazie-Versorgung.</w:t>
      </w:r>
    </w:p>
    <w:p>
      <w:r>
        <w:rPr>
          <w:b/>
        </w:rPr>
        <w:t xml:space="preserve">Ergebnis: </w:t>
      </w:r>
      <w:r>
        <w:t>20 Risikoereignisse wurden im Pharmazie-Versorgungszyklus identifiziert. Beide Komponenten zeigen hohe und sehr hohe Risiken (12 im Basis-komponenten 60%, 11 in der spezialisierten 55%, 7 geteilt). Die Analyse zeigt, dass beide Komponenten Risikominderung und Verbesserungsmöglichkeiten erfordern. Umgang und Übergänge zwischen Komponenten sollten von der Fähigkeit zur Risikominderung geleitet werden.</w:t>
      </w:r>
    </w:p>
    <w:p>
      <w:r>
        <w:rPr>
          <w:b/>
          <w:sz w:val="19"/>
        </w:rPr>
        <w:t xml:space="preserve">Übertragbarkeit: </w:t>
      </w:r>
      <w:r>
        <w:rPr>
          <w:sz w:val="19"/>
        </w:rPr>
        <w:t>Brasilien, Struktur vergleichbar mit deutschen Kassenleistungen und Fachambulatorien, Risikofrühwarnung relevant für Arzneimittellogistik</w:t>
      </w:r>
    </w:p>
    <w:p>
      <w:r>
        <w:rPr>
          <w:color w:val="5A7D3A"/>
          <w:sz w:val="18"/>
        </w:rPr>
        <w:t>https://pubmed.ncbi.nlm.nih.gov/42879620/</w:t>
      </w:r>
    </w:p>
    <w:p>
      <w:pPr>
        <w:pStyle w:val="Heading1"/>
      </w:pPr>
      <w:r>
        <w:t>Aufgenommen am 16.10.2026</w:t>
      </w:r>
    </w:p>
    <w:p>
      <w:pPr>
        <w:pStyle w:val="Heading2"/>
      </w:pPr>
      <w:r>
        <w:t>Fehlende Zwangsbehandlungs-Daten als Versorgungsproblem erkannt</w:t>
      </w:r>
    </w:p>
    <w:p>
      <w:r>
        <w:rPr>
          <w:i/>
          <w:color w:val="666666"/>
          <w:sz w:val="18"/>
        </w:rPr>
        <w:t>Kirby MLN et al.  ·  J Law Med Ethics  ·  15.10.2026  ·  PMID 42878508</w:t>
      </w:r>
    </w:p>
    <w:p>
      <w:r>
        <w:t>Agnotologische Analyse der US-amerikanischen Datenreporting-Lücken bei Unterbringungen und Zwangsbehandlungen – wie Ignoranz durch konzeptuelle Rahmen, Ausschluss von Betroffenen, Methodiken und Anreize passiv und aktiv erzeugt wird.</w:t>
      </w:r>
    </w:p>
    <w:p>
      <w:r>
        <w:rPr>
          <w:b/>
        </w:rPr>
        <w:t xml:space="preserve">Ergebnis: </w:t>
      </w:r>
      <w:r>
        <w:t>Vier passive Mechanismen identifiziert, durch die Ignoranz entsteht: Konzeptionalisierung (Patient vs. Sicherheitsrisiko), Ausschluss von Betroffenen (epistemische Ungerechtigkeit), Methodiken (Datendashboards nicht neutral) und Anreize; aktive Agnotologie kann schädlich oder heilsam sein; Datenschutz als bewusst konstruierte Ignoranz.</w:t>
      </w:r>
    </w:p>
    <w:p>
      <w:r>
        <w:rPr>
          <w:b/>
          <w:sz w:val="19"/>
        </w:rPr>
        <w:t xml:space="preserve">Übertragbarkeit: </w:t>
      </w:r>
      <w:r>
        <w:rPr>
          <w:sz w:val="19"/>
        </w:rPr>
        <w:t>USA, Ansatz übertragbar auf deutsche PsychKG-Diskurse und Transparenzanforderungen zu Unterbringung und Zwang</w:t>
      </w:r>
    </w:p>
    <w:p>
      <w:r>
        <w:rPr>
          <w:color w:val="5A7D3A"/>
          <w:sz w:val="18"/>
        </w:rPr>
        <w:t>https://pubmed.ncbi.nlm.nih.gov/42878508/</w:t>
      </w:r>
    </w:p>
    <w:p>
      <w:pPr>
        <w:pStyle w:val="Heading2"/>
      </w:pPr>
      <w:r>
        <w:t>Partizipative Evaluation von Demenzforschung: Rahmenwerk mit Betroffenen entwickelt</w:t>
      </w:r>
    </w:p>
    <w:p>
      <w:r>
        <w:rPr>
          <w:i/>
          <w:color w:val="666666"/>
          <w:sz w:val="18"/>
        </w:rPr>
        <w:t>Rizai M et al.  ·  Health Expect  ·  Okt. 2026  ·  PMID 42878207</w:t>
      </w:r>
    </w:p>
    <w:p>
      <w:r>
        <w:t>Kanadische Studie zur Entwicklung eines Evaluationsrahmens für Patientenbeteiligung in einem nationalen Demenzforschungsnetzwerk durch Co-Design mit Menschen mit Demenz und pflegenden Angehörigen.</w:t>
      </w:r>
    </w:p>
    <w:p>
      <w:r>
        <w:rPr>
          <w:b/>
        </w:rPr>
        <w:t xml:space="preserve">Ergebnis: </w:t>
      </w:r>
      <w:r>
        <w:t>Das Programm-Logikmodell identifizierte vier Evaluationsfragen mit Indikatoren und Methoden; kunstbasierte Evaluationsdesigns förderten Inklusion und Engagement; Daten werden durch verschiedene Medien und ein digitales Gemeinschaftsmural verbreitet.</w:t>
      </w:r>
    </w:p>
    <w:p>
      <w:r>
        <w:rPr>
          <w:b/>
          <w:sz w:val="19"/>
        </w:rPr>
        <w:t xml:space="preserve">Übertragbarkeit: </w:t>
      </w:r>
      <w:r>
        <w:rPr>
          <w:sz w:val="19"/>
        </w:rPr>
        <w:t>Kanada, übertragbar auf deutschsprachige Länder mit vergleichbarem Versicherungssystem und Partizipationsanspruch</w:t>
      </w:r>
    </w:p>
    <w:p>
      <w:r>
        <w:rPr>
          <w:color w:val="5A7D3A"/>
          <w:sz w:val="18"/>
        </w:rPr>
        <w:t>https://pubmed.ncbi.nlm.nih.gov/42878207/</w:t>
      </w:r>
    </w:p>
    <w:p>
      <w:pPr>
        <w:pStyle w:val="Heading2"/>
      </w:pPr>
      <w:r>
        <w:t>Essanfälle bei US-Schülern mit Social-Media-Nutzung und Suizidrisiko verbunden</w:t>
      </w:r>
    </w:p>
    <w:p>
      <w:r>
        <w:rPr>
          <w:i/>
          <w:color w:val="666666"/>
          <w:sz w:val="18"/>
        </w:rPr>
        <w:t>Saelee R et al.  ·  MMWR Suppl  ·  15.10.2026  ·  PMID 42868189</w:t>
      </w:r>
    </w:p>
    <w:p>
      <w:r>
        <w:t>Nationale US-Prävalenzstudie (YRBS 2025) mit 6.898 High-School-Schülern zur Häufigkeit und Korrelaten von Essanfällen.</w:t>
      </w:r>
    </w:p>
    <w:p>
      <w:r>
        <w:rPr>
          <w:b/>
        </w:rPr>
        <w:t xml:space="preserve">Ergebnis: </w:t>
      </w:r>
      <w:r>
        <w:t>40,5% berichteten Essanfälle an ≥1 Tag im letzten Monat, 17,2% an ≥3 Tagen; höher bei Mädchen (18,6%) als Jungen (15,9%); höher bei Hispanic (20,5%) und Schwarzen (18,7%) als Weißen (14,6%) Schülern; stündliche oder häufigere Social-Media-Nutzung, schlechte psychische Gesundheit, Traurigkeit/Hoffnungslosigkeit und Suizidideen mit höherer Prävalenz assoziiert; Muster bei beiden Geschlechtern.</w:t>
      </w:r>
    </w:p>
    <w:p>
      <w:r>
        <w:rPr>
          <w:b/>
          <w:sz w:val="19"/>
        </w:rPr>
        <w:t xml:space="preserve">Übertragbarkeit: </w:t>
      </w:r>
      <w:r>
        <w:rPr>
          <w:sz w:val="19"/>
        </w:rPr>
        <w:t>USA, begrenzte Übertragbarkeit; Disparitäten-Befund relevant für deutsche Diskurse zu Suizidprävention bei Jugendlichen</w:t>
      </w:r>
    </w:p>
    <w:p>
      <w:r>
        <w:rPr>
          <w:color w:val="5A7D3A"/>
          <w:sz w:val="18"/>
        </w:rPr>
        <w:t>https://pubmed.ncbi.nlm.nih.gov/42868189/</w:t>
      </w:r>
    </w:p>
    <w:p>
      <w:pPr>
        <w:pStyle w:val="Heading2"/>
      </w:pPr>
      <w:r>
        <w:t>Digitale Technologien in Autismus-Versorgung: Chancen und Equity-Risiken</w:t>
      </w:r>
    </w:p>
    <w:p>
      <w:r>
        <w:rPr>
          <w:i/>
          <w:color w:val="666666"/>
          <w:sz w:val="18"/>
        </w:rPr>
        <w:t>Han X et al.  ·  Front Public Health  ·  28.09.2026  ·  PMID 42865917</w:t>
      </w:r>
    </w:p>
    <w:p>
      <w:r>
        <w:t>Narrative Übersicht über KI, Wearables, Telehealth, VR und digitale Therapeutika in Autismus-Screening, -Diagnose und -Behandlung mit Fokus auf Chancen und Equity-Lücken.</w:t>
      </w:r>
    </w:p>
    <w:p>
      <w:r>
        <w:rPr>
          <w:b/>
        </w:rPr>
        <w:t xml:space="preserve">Ergebnis: </w:t>
      </w:r>
      <w:r>
        <w:t>Technologien zeigen Potenzial zur Schließung von Versorgungslücken in unterversorgten Settings; wiederkehrende Grenzen: kleine Stichproben, Datensatz-Bias, schwache externe Validität, kurzes Follow-up, ungleiche regulatorische Reife; Erfolg erfordert Equity-Design, Validierung in diversen Settings, größere Studien, Interoperabilität und Einbeziehung autistischer Menschen.</w:t>
      </w:r>
    </w:p>
    <w:p>
      <w:r>
        <w:rPr>
          <w:b/>
          <w:sz w:val="19"/>
        </w:rPr>
        <w:t xml:space="preserve">Übertragbarkeit: </w:t>
      </w:r>
      <w:r>
        <w:rPr>
          <w:sz w:val="19"/>
        </w:rPr>
        <w:t>Internationale Übersicht; deutsche Anwendung abhängig von Kassenzulassung und Regulierung digitaler Gesundheitsanwendungen (DiGA)</w:t>
      </w:r>
    </w:p>
    <w:p>
      <w:r>
        <w:rPr>
          <w:color w:val="5A7D3A"/>
          <w:sz w:val="18"/>
        </w:rPr>
        <w:t>https://pubmed.ncbi.nlm.nih.gov/42865917/</w:t>
      </w:r>
    </w:p>
    <w:p>
      <w:pPr>
        <w:pStyle w:val="Heading2"/>
      </w:pPr>
      <w:r>
        <w:t>Frühe Fördereinrichtungen für Kinder mit Entwicklungsbeeinträchtigungen kaum genutzt</w:t>
      </w:r>
    </w:p>
    <w:p>
      <w:r>
        <w:rPr>
          <w:i/>
          <w:color w:val="666666"/>
          <w:sz w:val="18"/>
        </w:rPr>
        <w:t>Iskenderli HS et al.  ·  Child Care Health Dev  ·  Nov. 2026  ·  PMID 42865113</w:t>
      </w:r>
    </w:p>
    <w:p>
      <w:r>
        <w:t>Querschnittsstudie zur Nutzung von Frühförderung bei 482 Kindern mit Entwicklungsbeeinträchtigungen in der Türkei (Mitteleinkommen-Land).</w:t>
      </w:r>
    </w:p>
    <w:p>
      <w:r>
        <w:rPr>
          <w:b/>
        </w:rPr>
        <w:t xml:space="preserve">Ergebnis: </w:t>
      </w:r>
      <w:r>
        <w:t>Nur 14,9% (72/482) der Kinder besuchten eine Frühfördereinrichtung; unabhängige Faktoren für Besuch: Alter ≥36 Monate (OR 5,84) und erwerbstätige Mutter (OR 3,63); besonders Kinder unter 3 Jahren und Kinder von Haushalterinnen unterversorgt.</w:t>
      </w:r>
    </w:p>
    <w:p>
      <w:r>
        <w:rPr>
          <w:b/>
          <w:sz w:val="19"/>
        </w:rPr>
        <w:t xml:space="preserve">Übertragbarkeit: </w:t>
      </w:r>
      <w:r>
        <w:rPr>
          <w:sz w:val="19"/>
        </w:rPr>
        <w:t>Türkei/LMIC-Setting, zeigt Disparitäten beim Zugang zu Früherkennung und Frühförderung</w:t>
      </w:r>
    </w:p>
    <w:p>
      <w:r>
        <w:rPr>
          <w:color w:val="5A7D3A"/>
          <w:sz w:val="18"/>
        </w:rPr>
        <w:t>https://pubmed.ncbi.nlm.nih.gov/42865113/</w:t>
      </w:r>
    </w:p>
    <w:p>
      <w:pPr>
        <w:pStyle w:val="Heading2"/>
      </w:pPr>
      <w:r>
        <w:t>Achtsamkeit puffert Zusammenhang zwischen Stress und emotionalem Essen ab</w:t>
      </w:r>
    </w:p>
    <w:p>
      <w:r>
        <w:rPr>
          <w:i/>
          <w:color w:val="666666"/>
          <w:sz w:val="18"/>
        </w:rPr>
        <w:t>Marinelli L et al.  ·  J Psychiatr Res  ·  03.09.2026  ·  PMID 42710441</w:t>
      </w:r>
    </w:p>
    <w:p>
      <w:r>
        <w:t>Französische Querschnittsstudie mit 381 Erwachsenen zu Interozeptions- und Achtsamkeitsprofilen und deren Verbindung zu Essstörungsrisiko und psychischer Belastung.</w:t>
      </w:r>
    </w:p>
    <w:p>
      <w:r>
        <w:rPr>
          <w:b/>
        </w:rPr>
        <w:t xml:space="preserve">Ergebnis: </w:t>
      </w:r>
      <w:r>
        <w:t>Vier Cluster identifiziert: höhere Achtsamkeit konsistent mit adaptiverem Essen und besseren psychologischen Ergebnissen assoziiert, unabhängig von Interozeptions-Level; niedrige Achtsamkeit mit höherem emotionalem Essen und psychischer Belastung; hohe Interozeption in Low-Mindfulness-Profilen mit niedrigeren depressiven Symptomen und Essstörungsrisiko.</w:t>
      </w:r>
    </w:p>
    <w:p>
      <w:r>
        <w:rPr>
          <w:b/>
          <w:sz w:val="19"/>
        </w:rPr>
        <w:t xml:space="preserve">Übertragbarkeit: </w:t>
      </w:r>
      <w:r>
        <w:rPr>
          <w:sz w:val="19"/>
        </w:rPr>
        <w:t>Frankreich, vergleichbares Gesundheitssystem und Psychotherapie-Zugang</w:t>
      </w:r>
    </w:p>
    <w:p>
      <w:r>
        <w:rPr>
          <w:color w:val="5A7D3A"/>
          <w:sz w:val="18"/>
        </w:rPr>
        <w:t>https://pubmed.ncbi.nlm.nih.gov/42710441/</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