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23.09.2026  |  5 Studien  |  mental.m-vf.de</w:t>
      </w:r>
    </w:p>
    <w:p>
      <w:pPr>
        <w:pStyle w:val="Heading1"/>
      </w:pPr>
      <w:r>
        <w:t>Aufgenommen am 23.09.2026</w:t>
      </w:r>
    </w:p>
    <w:p>
      <w:pPr>
        <w:pStyle w:val="Heading2"/>
      </w:pPr>
      <w:r>
        <w:t>Nur 20,9 % der psychisch Kranken in der Türkei erhalten Behandlung, 6,6 % ausreichende Behandlung</w:t>
      </w:r>
    </w:p>
    <w:p>
      <w:r>
        <w:rPr>
          <w:i/>
          <w:color w:val="666666"/>
          <w:sz w:val="18"/>
        </w:rPr>
        <w:t>Kiliç C et al.  ·  Turk Psikiyatri Derg  ·  2026  ·  PMID 42768881</w:t>
      </w:r>
    </w:p>
    <w:p>
      <w:r>
        <w:t>Landesweite Befragung von 1.790 Erwachsenen zur Behandlung von Angststörungen, Stimmungsstörungen und externalisierenden Störungen in der türkischen Bevölkerung (DSM-5).</w:t>
      </w:r>
    </w:p>
    <w:p>
      <w:r>
        <w:rPr>
          <w:b/>
        </w:rPr>
        <w:t xml:space="preserve">Ergebnis: </w:t>
      </w:r>
      <w:r>
        <w:t>Prävalenz psychischer Störungen 23,9 %, davon 20,9 % behandelt, nur 6,6 % mit minimal angemessener Behandlung (MAT). Behandlung stieg mit Schweregrad, aber MAT nicht. Frauen und früher verheiratete Personen höhere Quoten. Ein klarer Versorgungsgap.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nicht-europäisches Versicherungssystem; Befund zum Behandlungsgap international relevant.</w:t>
      </w:r>
    </w:p>
    <w:p>
      <w:r>
        <w:rPr>
          <w:color w:val="5A7D3A"/>
          <w:sz w:val="18"/>
        </w:rPr>
        <w:t>https://pubmed.ncbi.nlm.nih.gov/42768881/</w:t>
      </w:r>
    </w:p>
    <w:p>
      <w:pPr>
        <w:pStyle w:val="Heading2"/>
      </w:pPr>
      <w:r>
        <w:t>Transdiagnostische Psychotherapie bei Angst und Depression in Pakistan machbar und akzeptabel</w:t>
      </w:r>
    </w:p>
    <w:p>
      <w:r>
        <w:rPr>
          <w:i/>
          <w:color w:val="666666"/>
          <w:sz w:val="18"/>
        </w:rPr>
        <w:t>Nisa A et al.  ·  BMC Psychiatry  ·  21.09.2026  ·  PMID 42768329</w:t>
      </w:r>
    </w:p>
    <w:p>
      <w:r>
        <w:t>Pilot-RCT der Urdu-adaptierten Unified Protocol (UA-UP) in Pakistan bei 51 Patienten mit Angststörungen und/oder Depressionen (14 Wochen, n=25 Intervention, n=26 Warteliste).</w:t>
      </w:r>
    </w:p>
    <w:p>
      <w:r>
        <w:rPr>
          <w:b/>
        </w:rPr>
        <w:t xml:space="preserve">Ergebnis: </w:t>
      </w:r>
      <w:r>
        <w:t>Rekrutierung 85,7 %, Retention 82,4 %, Hausaufgaben-Compliance 79 %, Zufriedenheit CSQ-8=29,65. Große Effekte: Angst g=1,18, Depression g=1,15. Kulturelle Anpassung entscheidend für Engagement.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Pakistan, Niedrig-Ressourcen-Kontext; Machbarkeitsbefund für skalierbare, kostengünstige transdiagnostische Interventionen relevant.</w:t>
      </w:r>
    </w:p>
    <w:p>
      <w:r>
        <w:rPr>
          <w:color w:val="5A7D3A"/>
          <w:sz w:val="18"/>
        </w:rPr>
        <w:t>https://pubmed.ncbi.nlm.nih.gov/42768329/</w:t>
      </w:r>
    </w:p>
    <w:p>
      <w:pPr>
        <w:pStyle w:val="Heading2"/>
      </w:pPr>
      <w:r>
        <w:t>Früherkennung von Psychose bei autistischen Erwachsenen: PQ-16 hat Screening-Wert</w:t>
      </w:r>
    </w:p>
    <w:p>
      <w:r>
        <w:rPr>
          <w:i/>
          <w:color w:val="666666"/>
          <w:sz w:val="18"/>
        </w:rPr>
        <w:t>Basic D et al.  ·  Schizophr Bull  ·  20.08.2026  ·  PMID 42755260</w:t>
      </w:r>
    </w:p>
    <w:p>
      <w:r>
        <w:t>Querschnitt- und Längsschnitstudie zu Validierung des Prodromal Questionnaire-16 (PQ-16) bei 1.686 autistischen Erwachsenen aus Niederlandes Autism Register; Vorhersage psychose-ähnlicher Symptome und Schizophrenie-Spektrum-Diagnosen.</w:t>
      </w:r>
    </w:p>
    <w:p>
      <w:r>
        <w:rPr>
          <w:b/>
        </w:rPr>
        <w:t xml:space="preserve">Ergebnis: </w:t>
      </w:r>
      <w:r>
        <w:t>34,1 % schritten über PQ-16-Cutoff (≥6). Neuauftreten von Schizophrenie-Spektrum-Diagnosen 1,4 % (5/361, nur in Cutoff+-Gruppe 3,2 %). ROC-Analysen deuten auf Diskriminationsfähigkeit hin; PQ-16 identifiziert Muster abgeschwächter psychotischer Symptome.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großer autistischer Kohorte; Screening-Validität unabhängig vom Gesundheitssystem.</w:t>
      </w:r>
    </w:p>
    <w:p>
      <w:r>
        <w:rPr>
          <w:color w:val="5A7D3A"/>
          <w:sz w:val="18"/>
        </w:rPr>
        <w:t>https://pubmed.ncbi.nlm.nih.gov/42755260/</w:t>
      </w:r>
    </w:p>
    <w:p>
      <w:pPr>
        <w:pStyle w:val="Heading2"/>
      </w:pPr>
      <w:r>
        <w:t>Geschlechtsidentität und Psychiatrie: Integrating Gender in Mental Health Care</w:t>
      </w:r>
    </w:p>
    <w:p>
      <w:r>
        <w:rPr>
          <w:i/>
          <w:color w:val="666666"/>
          <w:sz w:val="18"/>
        </w:rPr>
        <w:t>Rrustemi E et al.  ·  Rev Med Suisse  ·  16.09.2026  ·  PMID 42750577</w:t>
      </w:r>
    </w:p>
    <w:p>
      <w:r>
        <w:t>Perspektive einer Gender-sensiblen psychiatrischen Versorgung in der Schweiz: Geschlechterrolle, Normen und soziale Verhältnisse beeinflussen Zugang zu Hilfe und psychische Erkrankungen.</w:t>
      </w:r>
    </w:p>
    <w:p>
      <w:r>
        <w:rPr>
          <w:b/>
        </w:rPr>
        <w:t xml:space="preserve">Ergebnis: </w:t>
      </w:r>
      <w:r>
        <w:t>Kernaussage: Psychiatrische Versorgung muss psychische Störungen in ihrem sozialen Kontext verstehen; methodische Ansätze des Gender*CoLaus-Projekts erfassen Geschlechtsdimensionen für präzisere Forschung und gerechtere klinische 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vergleichbares Versicherungssystem; Fokus auf Ungleichheit und Zugang zentral für deutschsprachigen Raum.</w:t>
      </w:r>
    </w:p>
    <w:p>
      <w:r>
        <w:rPr>
          <w:color w:val="5A7D3A"/>
          <w:sz w:val="18"/>
        </w:rPr>
        <w:t>https://pubmed.ncbi.nlm.nih.gov/42750577/</w:t>
      </w:r>
    </w:p>
    <w:p>
      <w:pPr>
        <w:pStyle w:val="Heading2"/>
      </w:pPr>
      <w:r>
        <w:t>Konsens über Methoden für psychosoziale Demenz-Interventionsforschung: Delphi-Studie mit Stakeholdern</w:t>
      </w:r>
    </w:p>
    <w:p>
      <w:r>
        <w:rPr>
          <w:i/>
          <w:color w:val="666666"/>
          <w:sz w:val="18"/>
        </w:rPr>
        <w:t>Bartels SL et al.  ·  BMJ Open  ·  02.09.2026  ·  PMID 42692512</w:t>
      </w:r>
    </w:p>
    <w:p>
      <w:r>
        <w:t>Multi-Phasen-Delphi-Studie mit Menschen mit Demenz, Angehörigen, Fachpersonen, Politikern und Versicherern zur Identifikation von Kernkompetenzen und geeigneten Methoden für Interventionsentwicklung.</w:t>
      </w:r>
    </w:p>
    <w:p>
      <w:r>
        <w:rPr>
          <w:b/>
        </w:rPr>
        <w:t xml:space="preserve">Ergebnis: </w:t>
      </w:r>
      <w:r>
        <w:t>Konsensus über 6 Kernelemente pro Phase (berücksichtigen von Kontext, Programmtheorie, Stakeholder-Engagement, Unsicherheiten, Verfeinerung, ökonomische Aspekte). Methodische Empfehlungen für alle Phasen der Interventionsentwicklung, mit Fokus auf Co-Design.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Multiländer-Konsortium (Niederlande, UK, Schweden, Belgien); übertragbar auf deutschsprachigen Kontext.</w:t>
      </w:r>
    </w:p>
    <w:p>
      <w:r>
        <w:rPr>
          <w:color w:val="5A7D3A"/>
          <w:sz w:val="18"/>
        </w:rPr>
        <w:t>https://pubmed.ncbi.nlm.nih.gov/42692512/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2026-09-23T06:00:00Z</dcterms:created>
  <dcterms:modified xsi:type="dcterms:W3CDTF">2026-09-23T06:00:00Z</dcterms:modified>
  <cp:category/>
</cp:coreProperties>
</file>