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29.09.2026  |  6 Studien  |  mental.m-vf.de</w:t>
      </w:r>
    </w:p>
    <w:p>
      <w:pPr>
        <w:pStyle w:val="Heading1"/>
      </w:pPr>
      <w:r>
        <w:t>Aufgenommen am 29.09.2026</w:t>
      </w:r>
    </w:p>
    <w:p>
      <w:pPr>
        <w:pStyle w:val="Heading2"/>
      </w:pPr>
      <w:r>
        <w:t>Psychiatrie-Assistenzärzte in Ungarn: 62,5% Burnout, 90% Erschöpfung, fehlende Supervision</w:t>
      </w:r>
    </w:p>
    <w:p>
      <w:r>
        <w:rPr>
          <w:i/>
          <w:color w:val="666666"/>
          <w:sz w:val="18"/>
        </w:rPr>
        <w:t>Lazáry J  ·  Ideggyogy Sz  ·  30.09.2026  ·  PMID 42803099</w:t>
      </w:r>
    </w:p>
    <w:p>
      <w:r>
        <w:t>Querschnittsbefragung von 80 Psychiatrie-Assistenzärzten in 4 ungarischen Universitäten zu belastenden Situationen, Burnout, Coping-Strategien und Bedarf für Ausbildungsverbesserung.</w:t>
      </w:r>
    </w:p>
    <w:p>
      <w:r>
        <w:rPr>
          <w:b/>
        </w:rPr>
        <w:t xml:space="preserve">Ergebnis: </w:t>
      </w:r>
      <w:r>
        <w:t>Verbale Gewalt/Diskriminierung am häufigsten. Physische Angreifer: 34,6%, Patientensuizid: 34,5%. Burnout-Kriterien erfüllt: 62,5% (Mini-Oldenburg MOLBI). Disengagement-Subskala: 65% hohe Werte, Exhaustion: 90%. Budapest signifikant höher (94,2% vs. 84,6% landesweit). Feldgespräche bevorzugtes Coping. 100% Unterstützung für strukturiertes Fallprozessing-Programm.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Ungarn, aber Burnout-Prävalenz und Trainingsdefizite bei Fachnachwuchs international parallel.</w:t>
      </w:r>
    </w:p>
    <w:p>
      <w:r>
        <w:rPr>
          <w:color w:val="5A7D3A"/>
          <w:sz w:val="18"/>
        </w:rPr>
        <w:t>https://pubmed.ncbi.nlm.nih.gov/42803099/</w:t>
      </w:r>
    </w:p>
    <w:p>
      <w:pPr>
        <w:pStyle w:val="Heading2"/>
      </w:pPr>
      <w:r>
        <w:t>Toolkit für autistische Kinder in ländlichen Notfallstationen verbessert Zugang</w:t>
      </w:r>
    </w:p>
    <w:p>
      <w:r>
        <w:rPr>
          <w:i/>
          <w:color w:val="666666"/>
          <w:sz w:val="18"/>
        </w:rPr>
        <w:t>Kabakov S et al.  ·  Prog Community Health Partnersh  ·  2026  ·  PMID 42803077</w:t>
      </w:r>
    </w:p>
    <w:p>
      <w:r>
        <w:t>Community-akademische Partnerschaft zur Entwicklung eines Toolkits (Schulungsmaterial, Umgebungsanpassungen, Sensory-Regulation) für ländliche Notfallabteilungen, um Zugang und Versorgung autistischer Kinder zu verbessern.</w:t>
      </w:r>
    </w:p>
    <w:p>
      <w:r>
        <w:rPr>
          <w:b/>
        </w:rPr>
        <w:t xml:space="preserve">Ergebnis: </w:t>
      </w:r>
      <w:r>
        <w:t>Iterativer Co-Design mit Eltern, autismusfokussierten Organisationen, Klinikern. Multifaktorielles Toolkit mit hoher Akzeptanz bei Health-Care-Teams entwickelt. Inhalte: Schulung, Umgebungsadaptationen, sensorische Instrumente. Zukünftige Forschung soll Implementierung über verschiedene Kontexte testen und gesundheitliche Outcomes messen.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USA-Kontext, aber Designprinzipien für Notfall-Accessibilität übertragbar.</w:t>
      </w:r>
    </w:p>
    <w:p>
      <w:r>
        <w:rPr>
          <w:color w:val="5A7D3A"/>
          <w:sz w:val="18"/>
        </w:rPr>
        <w:t>https://pubmed.ncbi.nlm.nih.gov/42803077/</w:t>
      </w:r>
    </w:p>
    <w:p>
      <w:pPr>
        <w:pStyle w:val="Heading2"/>
      </w:pPr>
      <w:r>
        <w:t>Organisationsstruktur von Frühintervention bei Psychose: internationale Leitlinien-Synthese</w:t>
      </w:r>
    </w:p>
    <w:p>
      <w:r>
        <w:rPr>
          <w:i/>
          <w:color w:val="666666"/>
          <w:sz w:val="18"/>
        </w:rPr>
        <w:t>Scognamiglio P et al.  ·  Early Interv Psychiatry  ·  Okt. 2026  ·  PMID 42802707</w:t>
      </w:r>
    </w:p>
    <w:p>
      <w:r>
        <w:t>Sekundäranalyse von 26 internationalen Leitlinien zur Frühintervention bei Psychose, um Empfehlungen zur Serviceorganisation zu extrahieren und in vier Designdomänen zu strukturieren.</w:t>
      </w:r>
    </w:p>
    <w:p>
      <w:r>
        <w:rPr>
          <w:b/>
        </w:rPr>
        <w:t xml:space="preserve">Ergebnis: </w:t>
      </w:r>
      <w:r>
        <w:t>17 Dokumente zu klinisch Hochrisiko-Psychose und 22 zu Erstmanifestation enthielten Organisationsempfehlungen. Stärkste Konvergenz: spezialisierte multidisziplinäre Services in 16/17 Dokumenten und spezialisierte ambulante Teams in 20/22 Dokumenten. Schwächer operationalisiert: Übergangspolitiken und jugendgerechte Versorgung. Die Synthese zeigt erkennbare internationale Architektur, aber ungleiche Spezifikation der Servicebereiche.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Leitlinienanalyse, direkt übertragbar auf deutschsprachige Planung.</w:t>
      </w:r>
    </w:p>
    <w:p>
      <w:r>
        <w:rPr>
          <w:color w:val="5A7D3A"/>
          <w:sz w:val="18"/>
        </w:rPr>
        <w:t>https://pubmed.ncbi.nlm.nih.gov/42802707/</w:t>
      </w:r>
    </w:p>
    <w:p>
      <w:pPr>
        <w:pStyle w:val="Heading2"/>
      </w:pPr>
      <w:r>
        <w:t>Bedingte Entlassung (conditional discharge) aus Patientensicht: Verständnis und Akzeptanzbarrieren</w:t>
      </w:r>
    </w:p>
    <w:p>
      <w:r>
        <w:rPr>
          <w:i/>
          <w:color w:val="666666"/>
          <w:sz w:val="18"/>
        </w:rPr>
        <w:t>Tang YDY et al.  ·  East Asian Arch Psychiatry  ·  Sept. 2026  ·  PMID 42802392</w:t>
      </w:r>
    </w:p>
    <w:p>
      <w:r>
        <w:t>Qualitative Fokusgruppen mit Patienten in Langzeit-Wohneinrichtungen in Hong Kong zu ihrer Wahrnehmung von bedingter Entlassung (CD) nach Psychiatrie-Behandlung und neuen CD-Leitlinien.</w:t>
      </w:r>
    </w:p>
    <w:p>
      <w:r>
        <w:rPr>
          <w:b/>
        </w:rPr>
        <w:t xml:space="preserve">Ergebnis: </w:t>
      </w:r>
      <w:r>
        <w:t>16 Patienten (Medianalter 57 Jahre), zwei Fokusgruppen. Sechs Themen identifiziert: CD-Mechanismus-Verständnis, professionelle Unterstützung, CD-Auswirkungen, Recall-Mechanismus, Review durch Multidisziplinär-Konferenzen, Informationsmaterial. Patienten sahen verbesserte Akzeptanz, aber Wahrnehmung als Strafe und Unsicherheit über Recall/Review. Bedarf für klarere Kommunikation, individualisierte Anleitung, transparente Prozesse.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Hong Kong-Zwangsbehandlungssystem; Beteiligung und Transparenz versorgungsübergreifend relevant.</w:t>
      </w:r>
    </w:p>
    <w:p>
      <w:r>
        <w:rPr>
          <w:color w:val="5A7D3A"/>
          <w:sz w:val="18"/>
        </w:rPr>
        <w:t>https://pubmed.ncbi.nlm.nih.gov/42802392/</w:t>
      </w:r>
    </w:p>
    <w:p>
      <w:pPr>
        <w:pStyle w:val="Heading2"/>
      </w:pPr>
      <w:r>
        <w:t>Geschlechtsspezifische Unterschiede in Wartezeiten und Zugang zu Geschlechtsangleichung in Hong Kong</w:t>
      </w:r>
    </w:p>
    <w:p>
      <w:r>
        <w:rPr>
          <w:i/>
          <w:color w:val="666666"/>
          <w:sz w:val="18"/>
        </w:rPr>
        <w:t>Chan TF et al.  ·  East Asian Arch Psychiatry  ·  Sept. 2026  ·  PMID 42802391</w:t>
      </w:r>
    </w:p>
    <w:p>
      <w:r>
        <w:t>Sechs-Jahres-Rückblick einer Geschlechtsidentitätsklinik in Hong Kong: Vergleich von zu Geburt männlich und weiblich zugewiesenen erwachsenen Transgender-Patienten bezüglich Wartezeiten, Barrieren und Versorgungszugang.</w:t>
      </w:r>
    </w:p>
    <w:p>
      <w:r>
        <w:rPr>
          <w:b/>
        </w:rPr>
        <w:t xml:space="preserve">Ergebnis: </w:t>
      </w:r>
      <w:r>
        <w:t>349 männlich und 260 weiblich Zugewiesene. Wartezeiten auf Hormonbehandlung stiegen von ~105 Tagen (2017) auf &gt;400 Tage (2022). 16,4% Arbeitslosenquote trotz 51,6% tertiäre Bildung. Männlich Zugewiesene: höhere psychiatrische Komorbiditäten (31,5% vs. 24,2%), zwei Suizide während Wartezeit. AFAB mehr Operationswünsche (73,4% vs. 56,2%). Unmet Demand und lange Wartezeiten dokumentiert.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Hong Kong, aber Wartezeitprobleme und Zugangsbarrieren systemunabhängig relevant.</w:t>
      </w:r>
    </w:p>
    <w:p>
      <w:r>
        <w:rPr>
          <w:color w:val="5A7D3A"/>
          <w:sz w:val="18"/>
        </w:rPr>
        <w:t>https://pubmed.ncbi.nlm.nih.gov/42802391/</w:t>
      </w:r>
    </w:p>
    <w:p>
      <w:pPr>
        <w:pStyle w:val="Heading2"/>
      </w:pPr>
      <w:r>
        <w:t>Psychiatrische Notfall-Inanspruchnahme stieg nach COVID-Pandemie um über 40%</w:t>
      </w:r>
    </w:p>
    <w:p>
      <w:r>
        <w:rPr>
          <w:i/>
          <w:color w:val="666666"/>
          <w:sz w:val="18"/>
        </w:rPr>
        <w:t>Yu MPM et al.  ·  East Asian Arch Psychiatry  ·  Sept. 2026  ·  PMID 42802389</w:t>
      </w:r>
    </w:p>
    <w:p>
      <w:r>
        <w:t>Retrospektive Analyse von sieben Jahren Notfall-Psychiatrie-Konsultationen (2017–2024) in Hong Kong: Trends vor, während und nach COVID-Pandemie.</w:t>
      </w:r>
    </w:p>
    <w:p>
      <w:r>
        <w:rPr>
          <w:b/>
        </w:rPr>
        <w:t xml:space="preserve">Ergebnis: </w:t>
      </w:r>
      <w:r>
        <w:t>7441 Konsultationen (61,1% Frauen), Medianalter stieg von 45 (2017) auf 49 Jahre (2024). Inanspruchnahme sank zu Pandemie-Beginn 2020, stieg 2021 deutlich an, fiel mit Omikron 2022, danach Rebound und kontinuierlicher Anstieg. Besonders zunehmend: Major neurocognitive disorders, Neurodevelopmental disorders, Stress-assoziierte Störungen. Entlassung in Community überwiegend.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Hong Kong-Daten, aber Pandemieffekte auf psychiatrische Notfall-Nachfrage international relevant.</w:t>
      </w:r>
    </w:p>
    <w:p>
      <w:r>
        <w:rPr>
          <w:color w:val="5A7D3A"/>
          <w:sz w:val="18"/>
        </w:rPr>
        <w:t>https://pubmed.ncbi.nlm.nih.gov/42802389/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2026-09-29T06:00:00Z</dcterms:created>
  <dcterms:modified xsi:type="dcterms:W3CDTF">2026-09-29T06:00:00Z</dcterms:modified>
  <cp:category/>
</cp:coreProperties>
</file>