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27.09.2026  |  6 Studien  |  mental.m-vf.de</w:t>
      </w:r>
    </w:p>
    <w:p>
      <w:pPr>
        <w:pStyle w:val="Heading1"/>
      </w:pPr>
      <w:r>
        <w:t>Aufgenommen am 27.09.2026</w:t>
      </w:r>
    </w:p>
    <w:p>
      <w:pPr>
        <w:pStyle w:val="Heading2"/>
      </w:pPr>
      <w:r>
        <w:t>Depression und Angst in der Pandemie: Vorerkrankung stärker als Berufsfaktoren</w:t>
      </w:r>
    </w:p>
    <w:p>
      <w:r>
        <w:rPr>
          <w:i/>
          <w:color w:val="666666"/>
          <w:sz w:val="18"/>
        </w:rPr>
        <w:t>Beutel T et al.  ·  Front Public Health  ·  11.09.2026  ·  PMID 42798961</w:t>
      </w:r>
    </w:p>
    <w:p>
      <w:r>
        <w:t>Deutsche Längsschnittstudie (N=6.813) untersuchte Depressivität und Angst vor und während COVID-19 bei mittelalten und älteren Erwachsenen mit validierten Skalen (PHQ-9, GAD-2) und analysierten Assoziationen mit Berufsfaktoren und Soziodemografie.</w:t>
      </w:r>
    </w:p>
    <w:p>
      <w:r>
        <w:rPr>
          <w:b/>
        </w:rPr>
        <w:t xml:space="preserve">Ergebnis: </w:t>
      </w:r>
      <w:r>
        <w:t>Depression und Angst blieben durchschnittlich stabil, aber der Anteil mit PHQ-9 ≥10 stieg in der Pandemie; Vorerkrankung war der stärkste Prädiktor. Berufsfaktoren zeigten nur kleine Effektstärken; erhöhte wöchentliche Arbeitszeiten waren der konsistenteste Arbeitsschutzfaktor. Weibliches Geschlecht, mittleres Alter und Alleenleben waren wichtige Soziodemografieprädiktoren.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Gesundheitsstudie, vergleichbare Dokumentationspflichten und Versicherungssystem</w:t>
      </w:r>
    </w:p>
    <w:p>
      <w:r>
        <w:rPr>
          <w:color w:val="5A7D3A"/>
          <w:sz w:val="18"/>
        </w:rPr>
        <w:t>https://pubmed.ncbi.nlm.nih.gov/42798961/</w:t>
      </w:r>
    </w:p>
    <w:p>
      <w:pPr>
        <w:pStyle w:val="Heading2"/>
      </w:pPr>
      <w:r>
        <w:t>Fachkompetenz im Umgang mit geflüchteten Jugendlichen: Training schließt Vertrauenslücke</w:t>
      </w:r>
    </w:p>
    <w:p>
      <w:r>
        <w:rPr>
          <w:i/>
          <w:color w:val="666666"/>
          <w:sz w:val="18"/>
        </w:rPr>
        <w:t>West R et al.  ·  Int J Ment Health Nurs  ·  Okt. 2026  ·  PMID 42791647</w:t>
      </w:r>
    </w:p>
    <w:p>
      <w:r>
        <w:t>Qualitative Befragung von 116 britischen Fachleuten der Psychiatrie zu Selbstvertrauen und Kompetenzen bei der Versorgung junger Asylsuchender und Geflüchteter mit komplexen Traumafolgen.</w:t>
      </w:r>
    </w:p>
    <w:p>
      <w:r>
        <w:rPr>
          <w:b/>
        </w:rPr>
        <w:t xml:space="preserve">Ergebnis: </w:t>
      </w:r>
      <w:r>
        <w:t>Über die Hälfte berichtete geringes Selbstvertrauen; drei Themenschwerpunkte identifiziert: berufliches Selbstvertrauen, Kulturresponsivität und begrenzte Handlungsfähigkeit. Trotz starkem Commitment zu gleichberechtigter Versorgung behindern Kompetenzdefizite wirksame Praxis. Fachtraining und geschützte Supervision könnten Vertrauen und Versorgungsqualität verbessern.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Großbritannien, ähnlicher Versorgungsauftrag für vulnerable Populationen</w:t>
      </w:r>
    </w:p>
    <w:p>
      <w:r>
        <w:rPr>
          <w:color w:val="5A7D3A"/>
          <w:sz w:val="18"/>
        </w:rPr>
        <w:t>https://pubmed.ncbi.nlm.nih.gov/42791647/</w:t>
      </w:r>
    </w:p>
    <w:p>
      <w:pPr>
        <w:pStyle w:val="Heading2"/>
      </w:pPr>
      <w:r>
        <w:t>Tanztherapie für geflüchtete Frauen mit Trauma: signifikante Symptomreduktion</w:t>
      </w:r>
    </w:p>
    <w:p>
      <w:r>
        <w:rPr>
          <w:i/>
          <w:color w:val="666666"/>
          <w:sz w:val="18"/>
        </w:rPr>
        <w:t>Koch SC et al.  ·  BMC Complement Med Ther  ·  25.09.2026  ·  PMID 42791554</w:t>
      </w:r>
    </w:p>
    <w:p>
      <w:r>
        <w:t>Kontrollierte Studie mit 24 traumatisierten geflüchteten Frauen in Süddeutschland testete Tanztherapie (8 Wochen à 1,5h wöchentlich) gegen 8-wöchige Warteliste auf PTBS, Stress, Depression und Angst (RHS-15, DASS-21, PCL-S).</w:t>
      </w:r>
    </w:p>
    <w:p>
      <w:r>
        <w:rPr>
          <w:b/>
        </w:rPr>
        <w:t xml:space="preserve">Ergebnis: </w:t>
      </w:r>
      <w:r>
        <w:t>Nach Tanztherapie signifikante Abnahme aller Symptome: Trauma (PCL-S) fiel unter klinischen Grenzwert, Depression und Angst reduzierten sich deutlich (p&lt;0,001). Effekte waren nach 8 Wochen Nachbeobachtung stabil, aber nach 12 Monaten abgeschwächt. Keine Effekte in der Wartelistenkontrolle; weniger als 10 Prozent geflüchteter Menschen in Deutschland erhalten psychische Behandlung.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Deutsche Durchführungsorte, Kosteneffektivität für marginalisierte Gruppen relevant</w:t>
      </w:r>
    </w:p>
    <w:p>
      <w:r>
        <w:rPr>
          <w:color w:val="5A7D3A"/>
          <w:sz w:val="18"/>
        </w:rPr>
        <w:t>https://pubmed.ncbi.nlm.nih.gov/42791554/</w:t>
      </w:r>
    </w:p>
    <w:p>
      <w:pPr>
        <w:pStyle w:val="Heading2"/>
      </w:pPr>
      <w:r>
        <w:t>Psychopharmaka-Polypharmakotherapie in Botswana: Bi-/Polartherapie häufigster Grund</w:t>
      </w:r>
    </w:p>
    <w:p>
      <w:r>
        <w:rPr>
          <w:i/>
          <w:color w:val="666666"/>
          <w:sz w:val="18"/>
        </w:rPr>
        <w:t>Kinsman BC et al.  ·  PLoS One  ·  25.09.2026  ·  PMID 42789592</w:t>
      </w:r>
    </w:p>
    <w:p>
      <w:r>
        <w:t>Querschnittstudie an Psychiatriestation in Botswana (N=300) erfasste Prävalenz, Muster und Prädiktoren von Psychopharmaka-Polypharmakotherapie durch Interviews und Dokumenteneinsicht und analysierte Assoziationen mit Multivariabler logistischer Regression.</w:t>
      </w:r>
    </w:p>
    <w:p>
      <w:r>
        <w:rPr>
          <w:b/>
        </w:rPr>
        <w:t xml:space="preserve">Ergebnis: </w:t>
      </w:r>
      <w:r>
        <w:t>Polypharmaka-Prävalenz: 49,7 Prozent, überwiegend Multi-Klassen-Kombination (79,2 Prozent). Prädiktoren: stationärer Status (AOR 5,00; 95% CI 2,70–9,25), Substanzstörung (AOR 4,60; 95% CI 1,18–17,86) und Bipolarstörung (AOR 2,67; 95% CI 1,49–4,80). Forderung nach Kliniker-Training zu rationalem Verschreiben.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Afrika – nur als Fallbeispiel für Polypharmaka-Risiken in ressourcenbegrenzten Systemen</w:t>
      </w:r>
    </w:p>
    <w:p>
      <w:r>
        <w:rPr>
          <w:color w:val="5A7D3A"/>
          <w:sz w:val="18"/>
        </w:rPr>
        <w:t>https://pubmed.ncbi.nlm.nih.gov/42789592/</w:t>
      </w:r>
    </w:p>
    <w:p>
      <w:pPr>
        <w:pStyle w:val="Heading2"/>
      </w:pPr>
      <w:r>
        <w:t>Advance Care Planning in der Alterspsychiatrie: Professionals wünschen sich Training</w:t>
      </w:r>
    </w:p>
    <w:p>
      <w:r>
        <w:rPr>
          <w:i/>
          <w:color w:val="666666"/>
          <w:sz w:val="18"/>
        </w:rPr>
        <w:t>Allen J et al.  ·  Ir J Psychol Med  ·  24.09.2026  ·  PMID 42782217</w:t>
      </w:r>
    </w:p>
    <w:p>
      <w:r>
        <w:t>Erste Etappe einer Aktionsforschung mit Fachkräften der irischen Alterspsychiatrie (qualitative und quantitative Methoden) zu Akzeptanz, Implementierungsbarrieren und Enabler von Advance Care Planning bei kognitiven und psychischen Beeinträchtigungen.</w:t>
      </w:r>
    </w:p>
    <w:p>
      <w:r>
        <w:rPr>
          <w:b/>
        </w:rPr>
        <w:t xml:space="preserve">Ergebnis: </w:t>
      </w:r>
      <w:r>
        <w:t>Fachkräfte bewerteten Advance Care Planning positiv, aber Erfahrung und Selbstvertrauen variierten stark; deutliche Forderung nach spezifischem Training und Werkzeugen. Barrieren und Enabler identifiziert: Existenzialangst, Patientenstimme, personenzentrierte Ansätze sowie motivierende und hemmende Faktoren. Balancieren zwischen proaktivem Engagement und Recht nicht zu partizipieren empfohlen.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 – ähnliches Rechtssystem (Assisted Decision-Making), europäische Perspektive</w:t>
      </w:r>
    </w:p>
    <w:p>
      <w:r>
        <w:rPr>
          <w:color w:val="5A7D3A"/>
          <w:sz w:val="18"/>
        </w:rPr>
        <w:t>https://pubmed.ncbi.nlm.nih.gov/42782217/</w:t>
      </w:r>
    </w:p>
    <w:p>
      <w:pPr>
        <w:pStyle w:val="Heading2"/>
      </w:pPr>
      <w:r>
        <w:t>Trauma-assoziierte Sexualstörungen in Gruppentherapie: signifikante Verbesserungen</w:t>
      </w:r>
    </w:p>
    <w:p>
      <w:r>
        <w:rPr>
          <w:i/>
          <w:color w:val="666666"/>
          <w:sz w:val="18"/>
        </w:rPr>
        <w:t>Gleixner JM et al.  ·  J Trauma Dissociation  ·  03.09.2026  ·  PMID 42689354</w:t>
      </w:r>
    </w:p>
    <w:p>
      <w:r>
        <w:t>Multizentrisches Pilotprojekt mit 54 weiblich zugeordneten Personen (Durchschnittsalter 33,8 Jahre) mit Interpersonaltraumata und Sexualstörungen testete 12-wöchige manuelle Gruppentherapie (TrusT) mit Trauma- und Sexualtherapie-Techniken auf Symptomreduktion (baseline, post, 3-Monatsnachbeobachtung).</w:t>
      </w:r>
    </w:p>
    <w:p>
      <w:r>
        <w:rPr>
          <w:b/>
        </w:rPr>
        <w:t xml:space="preserve">Ergebnis: </w:t>
      </w:r>
      <w:r>
        <w:t>Signifikante Verbesserungen nach Behandlung: Trauma-sexuelle Symptome p&lt;0,001, PTBS-Schweregrad p&lt;0,001, dissoziative Symptome beim Sex p&lt;0,05; Effekte bei Nachbeobachtung stabil und großflächig. Selbstbestimmte Sexualität verbessert (p&lt;0,05); Nebenwirkungen minimal. Intervention als sicher und gut verträglich bewertet für unterversorgter Population.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Deutschland und Niederlande – vergleichbare Traumaversorgung, klinische Versorger in Versorgungszentren</w:t>
      </w:r>
    </w:p>
    <w:p>
      <w:r>
        <w:rPr>
          <w:color w:val="5A7D3A"/>
          <w:sz w:val="18"/>
        </w:rPr>
        <w:t>https://pubmed.ncbi.nlm.nih.gov/42689354/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2026-09-27T06:00:00Z</dcterms:created>
  <dcterms:modified xsi:type="dcterms:W3CDTF">2026-09-27T06:00:00Z</dcterms:modified>
  <cp:category/>
</cp:coreProperties>
</file>