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30.08.2026  |  6 Studien  |  mental.m-vf.de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Schizophrenia mit verzögerter Diabetesbehandlung verringert Überlebenschancen</w:t>
      </w:r>
    </w:p>
    <w:p>
      <w:r>
        <w:rPr>
          <w:i/>
          <w:color w:val="666666"/>
          <w:sz w:val="18"/>
        </w:rPr>
        <w:t>Rohde C et al.  ·  Schizophr Bull  ·  20.08.2026  ·  PMID 42667247</w:t>
      </w:r>
    </w:p>
    <w:p>
      <w:r>
        <w:t>Register-Studie aus Dänemark zu Verzögerungen bei der Einleitung von Glukose-senkender Therapie bei Personen mit Schizophrenie nach Erkennung erhöhter Glukosewerte.</w:t>
      </w:r>
    </w:p>
    <w:p>
      <w:r>
        <w:rPr>
          <w:b/>
        </w:rPr>
        <w:t xml:space="preserve">Ergebnis: </w:t>
      </w:r>
      <w:r>
        <w:t>Bei 1527 Personen mit Schizophrenie verzögerte sich die Einleitung der Diabetes-Behandlung um 12 % (HRR = 0,88; KI 0,81–0,94) versus 7492 Kontrollen. Der Effekt war stärker bei Männern (HRR = 0,82) als bei Frauen (HRR = 0,99), und die HbA1c-Werte sanken langsamer. Die Verzögerung deutet auf eine Versorgungslücke im Schnittstellenmanagement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Registerdaten, vergleichbares Gesundheitssystem</w:t>
      </w:r>
    </w:p>
    <w:p>
      <w:r>
        <w:rPr>
          <w:color w:val="5A7D3A"/>
          <w:sz w:val="18"/>
        </w:rPr>
        <w:t>https://pubmed.ncbi.nlm.nih.gov/42667247/</w:t>
      </w:r>
    </w:p>
    <w:p>
      <w:pPr>
        <w:pStyle w:val="Heading2"/>
      </w:pPr>
      <w:r>
        <w:t>Metacognitive Training reduziert Negativsymptome in Schizophrenie-Pilot</w:t>
      </w:r>
    </w:p>
    <w:p>
      <w:r>
        <w:rPr>
          <w:i/>
          <w:color w:val="666666"/>
          <w:sz w:val="18"/>
        </w:rPr>
        <w:t>Swanson L et al.  ·  Trials  ·  28.08.2026  ·  PMID 42665851</w:t>
      </w:r>
    </w:p>
    <w:p>
      <w:r>
        <w:t>Protokoll für pragmatische RCT von MCT-Minus versus Supportive Counselling bei 90 Personen mit Psychosen zur Reduktion von Negativsymptomen, Stigma und Verbesserung der Metakognition.</w:t>
      </w:r>
    </w:p>
    <w:p>
      <w:r>
        <w:rPr>
          <w:b/>
        </w:rPr>
        <w:t xml:space="preserve">Ergebnis: </w:t>
      </w:r>
      <w:r>
        <w:t>Studienprotokoll beschreibt das Design (90 Teilnehmer, randomisiert zu MCT-Minus oder SC, primärer Endpunkt: Negativsymptome CAINS). Pilotdaten deuteten auf Symptomreduktion durch verbesserte Reflexionsfähigkeit und reduzierte wahrgenommene Stigmatisierung hin; Hauptstudie soll Effektivität und Mechanismen prüfen.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</w:t>
      </w:r>
    </w:p>
    <w:p>
      <w:r>
        <w:rPr>
          <w:color w:val="5A7D3A"/>
          <w:sz w:val="18"/>
        </w:rPr>
        <w:t>https://pubmed.ncbi.nlm.nih.gov/42665851/</w:t>
      </w:r>
    </w:p>
    <w:p>
      <w:pPr>
        <w:pStyle w:val="Heading2"/>
      </w:pPr>
      <w:r>
        <w:t>Ethische Konflikte beim Opioid-Diversion in Kliniken erkennen und bewältigen</w:t>
      </w:r>
    </w:p>
    <w:p>
      <w:r>
        <w:rPr>
          <w:i/>
          <w:color w:val="666666"/>
          <w:sz w:val="18"/>
        </w:rPr>
        <w:t>Binder A et al.  ·  BMC Med Ethics  ·  28.08.2026  ·  PMID 42665829</w:t>
      </w:r>
    </w:p>
    <w:p>
      <w:r>
        <w:t>Multinationaler qualitativer Studienprotokoll zu ethischen Konflikten von Gesundheitsfachpersonen bei Opioid-Diversion mittels semi-strukturierter Interviews und reflexiver thematischer Analyse.</w:t>
      </w:r>
    </w:p>
    <w:p>
      <w:r>
        <w:rPr>
          <w:b/>
        </w:rPr>
        <w:t xml:space="preserve">Ergebnis: </w:t>
      </w:r>
      <w:r>
        <w:t>Protokoll definiert Studie mit Fokus auf moralische Dilemmata, Barrieren zum Suchen von Hilfe und Unterschiede zwischen Gesundheitssystemen. Ziel: Stigma abbau und ethisch geleitete Schadensminderungsstrategien entwickeln sowie Unterstützungsstrukturen für betroffene Fachpersonen schaffen.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international vergleichbar, Systemübergreifende Perspektive</w:t>
      </w:r>
    </w:p>
    <w:p>
      <w:r>
        <w:rPr>
          <w:color w:val="5A7D3A"/>
          <w:sz w:val="18"/>
        </w:rPr>
        <w:t>https://pubmed.ncbi.nlm.nih.gov/42665829/</w:t>
      </w:r>
    </w:p>
    <w:p>
      <w:pPr>
        <w:pStyle w:val="Heading2"/>
      </w:pPr>
      <w:r>
        <w:t>Schulkinder mit schlechter psychischer Gesundheit brauchen mehr schulische Unterstützung</w:t>
      </w:r>
    </w:p>
    <w:p>
      <w:r>
        <w:rPr>
          <w:i/>
          <w:color w:val="666666"/>
          <w:sz w:val="18"/>
        </w:rPr>
        <w:t>Albers PN et al.  ·  PLoS One  ·  28.08.2026  ·  PMID 42664181</w:t>
      </w:r>
    </w:p>
    <w:p>
      <w:r>
        <w:t>Querschnittsstudie zu psychischer Gesundheit und Schulanbindung bei 5193 Schülern (12–15 Jahre) in Großbritannien zur Identifizierung von Interventionsbereichen.</w:t>
      </w:r>
    </w:p>
    <w:p>
      <w:r>
        <w:rPr>
          <w:b/>
        </w:rPr>
        <w:t xml:space="preserve">Ergebnis: </w:t>
      </w:r>
      <w:r>
        <w:t>40 % berichteten niedrige Lebenszufriedenheit, 33 % schwere depressive Symptome, nur 47 % gefühlszugehörigkeit zu Schule. Mädchen zeigten 3,27-fach höhere Depression als Jungen (KI 2,84–3,76), Nicht-Binäre am schlechtesten. Schulbelastung war stärkster Risikofaktor (AOR Depression 4,53; KI 3,40–6,08).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UK-Schuldaten, ähnliche Versorgungsherausforderungen wie Deutschland</w:t>
      </w:r>
    </w:p>
    <w:p>
      <w:r>
        <w:rPr>
          <w:color w:val="5A7D3A"/>
          <w:sz w:val="18"/>
        </w:rPr>
        <w:t>https://pubmed.ncbi.nlm.nih.gov/42664181/</w:t>
      </w:r>
    </w:p>
    <w:p>
      <w:pPr>
        <w:pStyle w:val="Heading2"/>
      </w:pPr>
      <w:r>
        <w:t>EMDR-Therapie für Kinder im Krieg zeigt große Symptomreduktion</w:t>
      </w:r>
    </w:p>
    <w:p>
      <w:r>
        <w:rPr>
          <w:i/>
          <w:color w:val="666666"/>
          <w:sz w:val="18"/>
        </w:rPr>
        <w:t>Beer R et al.  ·  Eur J Psychotraumatol  ·  24.08.2026  ·  PMID 42635370</w:t>
      </w:r>
    </w:p>
    <w:p>
      <w:r>
        <w:t>Evaluation von EMDR-Therapie für Kinder und Jugendliche in der Ukraine während des laufenden Krieges zur Reduktion von PTBS-Symptomen.</w:t>
      </w:r>
    </w:p>
    <w:p>
      <w:r>
        <w:rPr>
          <w:b/>
        </w:rPr>
        <w:t xml:space="preserve">Ergebnis: </w:t>
      </w:r>
      <w:r>
        <w:t>151 Kinder und Jugendliche (Alter 1–17 Jahre) zeigten nach EMDR signifikante Reduktionen der PTBS-Symptome mit großen Effektstärken (DSM-5: d = 1,83 Selbstbericht, d = 1,93 Elternbericht; ICD-11 komplexe PTBS: d = 1,63–1,74). Effekte blieben in Folgemessungen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Ukraine unter Kriegsbedingungen, externe Validität begrenzt auf Krisen-Settings</w:t>
      </w:r>
    </w:p>
    <w:p>
      <w:r>
        <w:rPr>
          <w:color w:val="5A7D3A"/>
          <w:sz w:val="18"/>
        </w:rPr>
        <w:t>https://pubmed.ncbi.nlm.nih.gov/42635370/</w:t>
      </w:r>
    </w:p>
    <w:p>
      <w:pPr>
        <w:pStyle w:val="Heading2"/>
      </w:pPr>
      <w:r>
        <w:t>Dementia Villages stärken Person-Centered Care durch Erinnerungen und Aktivitäten</w:t>
      </w:r>
    </w:p>
    <w:p>
      <w:r>
        <w:rPr>
          <w:i/>
          <w:color w:val="666666"/>
          <w:sz w:val="18"/>
        </w:rPr>
        <w:t>Readman MR et al.  ·  Health Expect  ·  Aug. 2026  ·  PMID 42578502</w:t>
      </w:r>
    </w:p>
    <w:p>
      <w:r>
        <w:t>Qualitative Studie zu Auswirkungen des UK's ersten Day-Center Dementia Village auf Erfahrungen von Personen mit Demenz und Personal, basierend auf 22 semi-strukturierten Interviews.</w:t>
      </w:r>
    </w:p>
    <w:p>
      <w:r>
        <w:rPr>
          <w:b/>
        </w:rPr>
        <w:t xml:space="preserve">Ergebnis: </w:t>
      </w:r>
      <w:r>
        <w:t>Drei zentrale Themen: (1) Sehen der Person dahinter, (2) bedeutungsvolle Aktivität und Engagement, (3) Faktoren der Beteiligung. Personal und Betroffene berichteten von erhöhter Personenorientierung, besserer Identitätsanerkennung und maßgeschneiderter Aktivitäten; Wirksamkeit hängt von individueller Anpassung und Ressourcen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übertragbar auf deutsche Tagesstrukturen in der Demenzversorgung</w:t>
      </w:r>
    </w:p>
    <w:p>
      <w:r>
        <w:rPr>
          <w:color w:val="5A7D3A"/>
          <w:sz w:val="18"/>
        </w:rPr>
        <w:t>https://pubmed.ncbi.nlm.nih.gov/42578502/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