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01.10.2026  |  6 Studien  |  mental.m-vf.de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Strukturelles Messinstrument für Gewalt und psychische Belastung bei Migranten in prekären Lebenssituationen</w:t>
      </w:r>
    </w:p>
    <w:p>
      <w:r>
        <w:rPr>
          <w:i/>
          <w:color w:val="666666"/>
          <w:sz w:val="18"/>
        </w:rPr>
        <w:t>Adsul N et al.  ·  BMJ Open  ·  30.09.2026  ·  PMID 42816086</w:t>
      </w:r>
    </w:p>
    <w:p>
      <w:r>
        <w:t>Entwicklung und Pilotvalidierung eines Umfrageinstruments (GEMMS) zur Erfassung von Geschlechtergewalt, psychischer Belastung und mehrdimensionaler Prekabilität bei Migranten in Kambodscha, Indien und Südafrika; exploratorische Faktorenanalyse von 216 Items.</w:t>
      </w:r>
    </w:p>
    <w:p>
      <w:r>
        <w:rPr>
          <w:b/>
        </w:rPr>
        <w:t xml:space="preserve">Ergebnis: </w:t>
      </w:r>
      <w:r>
        <w:t>Fünf kohärente Faktoren identifiziert: strukturelle Schädigung, soziokulturelle Marginalisierung, soziale Ausgrenzung, Zugehörigkeit/soziale Integration und Migrationsstress. Alle zeigten interpretierbare und aussagekräftige Faktorladungen, die mit der Theorie übereinstimmten.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 mit niedriger/mittlerer Einkommen, strukturell-intersektionaler Forschungsansatz zur Ungleichheit auch in Deutschland übertragbar.</w:t>
      </w:r>
    </w:p>
    <w:p>
      <w:r>
        <w:rPr>
          <w:color w:val="5A7D3A"/>
          <w:sz w:val="18"/>
        </w:rPr>
        <w:t>https://pubmed.ncbi.nlm.nih.gov/42816086/</w:t>
      </w:r>
    </w:p>
    <w:p>
      <w:pPr>
        <w:pStyle w:val="Heading2"/>
      </w:pPr>
      <w:r>
        <w:t>Investitionsrendite in Adoleszenten-Depressionsbehandlung in Kolumbien und Südafrika</w:t>
      </w:r>
    </w:p>
    <w:p>
      <w:r>
        <w:rPr>
          <w:i/>
          <w:color w:val="666666"/>
          <w:sz w:val="18"/>
        </w:rPr>
        <w:t>Sweeny K et al.  ·  Health Policy Plan  ·  30.09.2026  ·  PMID 42815149</w:t>
      </w:r>
    </w:p>
    <w:p>
      <w:r>
        <w:t>Ökonomische Modellierung des Return-on-Investment für Skalierung von Interventionen gegen Depression und Angststörungen bei Jugendlichen in zwei Mitteleinkommensländern.</w:t>
      </w:r>
    </w:p>
    <w:p>
      <w:r>
        <w:rPr>
          <w:b/>
        </w:rPr>
        <w:t xml:space="preserve">Ergebnis: </w:t>
      </w:r>
      <w:r>
        <w:t>Benefit-Cost-Ratios betrugen 13,9 (wirtschaftlich allein) bis 15,4 (einschließlich sozialer Nutzen) in Kolumbien und 13,0 bis 13,9 in Südafrika – hochgradig kosteneffektiv trotz niedriger Behandlungsraten (weniger als 10% der betroffenen Jugendlichen erhalten Versorgung).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 mit niedriger/mittlerer Einkommen, aber Evidenz für Kosteneffektivität auch in ressourcentarmen Settings.</w:t>
      </w:r>
    </w:p>
    <w:p>
      <w:r>
        <w:rPr>
          <w:color w:val="5A7D3A"/>
          <w:sz w:val="18"/>
        </w:rPr>
        <w:t>https://pubmed.ncbi.nlm.nih.gov/42815149/</w:t>
      </w:r>
    </w:p>
    <w:p>
      <w:pPr>
        <w:pStyle w:val="Heading2"/>
      </w:pPr>
      <w:r>
        <w:t>Cannabiskonsum erhöht Wiederaufnahmerisiko in den ersten 3 Monaten nach Entlassung</w:t>
      </w:r>
    </w:p>
    <w:p>
      <w:r>
        <w:rPr>
          <w:i/>
          <w:color w:val="666666"/>
          <w:sz w:val="18"/>
        </w:rPr>
        <w:t>Perino J et al.  ·  J Clin Psychiatry  ·  28.09.2026  ·  PMID 42814580</w:t>
      </w:r>
    </w:p>
    <w:p>
      <w:r>
        <w:t>Retrospektive Kohorte von 200 jungen Erwachsenen (18–29 Jahre) mit psychotischen oder bipolaren Störungen zur Assoziation zwischen Cannabiskonsum bei Aufnahme und psychiatrischer Wiederaufnahme im ersten Jahr nach Entlassung.</w:t>
      </w:r>
    </w:p>
    <w:p>
      <w:r>
        <w:rPr>
          <w:b/>
        </w:rPr>
        <w:t xml:space="preserve">Ergebnis: </w:t>
      </w:r>
      <w:r>
        <w:t>Cannabiskonsum bei Indexaufnahme war mit erhöhtem Wiederaufnahmerisiko im ersten Monat nach Entlassung assoziiert (Hazard Ratio 2,8; 95%-KI 1,3–5,9), sank auf 1,9 bei 3 Monaten und war bei 6 Monaten nicht mehr signifikant. Höchste Rückfallrisiko in den ersten 3 Monaten.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(Bordeaux), vergleichbare psychiatrische Strukturen; Substanzkonsum als Discharged-Risiko auch in Deutschland klinisch relevant.</w:t>
      </w:r>
    </w:p>
    <w:p>
      <w:r>
        <w:rPr>
          <w:color w:val="5A7D3A"/>
          <w:sz w:val="18"/>
        </w:rPr>
        <w:t>https://pubmed.ncbi.nlm.nih.gov/42814580/</w:t>
      </w:r>
    </w:p>
    <w:p>
      <w:pPr>
        <w:pStyle w:val="Heading2"/>
      </w:pPr>
      <w:r>
        <w:t>Patienten erfahrungen blended Kognitiver Traumatherapie in Routineversorgung</w:t>
      </w:r>
    </w:p>
    <w:p>
      <w:r>
        <w:rPr>
          <w:i/>
          <w:color w:val="666666"/>
          <w:sz w:val="18"/>
        </w:rPr>
        <w:t>Lundin J et al.  ·  Eur J Psychotraumatol  ·  30.09.2026  ·  PMID 42812108</w:t>
      </w:r>
    </w:p>
    <w:p>
      <w:r>
        <w:t>Qualitative Interviews mit 11 Patienten zu Akzeptabilität und Machbarkeit einer hybriden Traumatherapie (Online-Module kombiniert mit begrenzten Therapiesitzungen) bei PTBS in schwedischer Routineversorgung.</w:t>
      </w:r>
    </w:p>
    <w:p>
      <w:r>
        <w:rPr>
          <w:b/>
        </w:rPr>
        <w:t xml:space="preserve">Ergebnis: </w:t>
      </w:r>
      <w:r>
        <w:t>Behandlung wurde als hilfreich und flexibel bewertet, die Kombination aus online und persönlich unterstützt. Traumafokussierte Komponenten wurden als emotional fordernd wahrgenommen, besonders bei unabhängigem Online-Lernen. Therapeutische Präsenz war entscheidend für die Aufrechterhaltung des Engagements.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Sozialversicherungssystem; Blended Care zur Ressourceneffizienz auch im deutschsprachigen Raum einsetzbar.</w:t>
      </w:r>
    </w:p>
    <w:p>
      <w:r>
        <w:rPr>
          <w:color w:val="5A7D3A"/>
          <w:sz w:val="18"/>
        </w:rPr>
        <w:t>https://pubmed.ncbi.nlm.nih.gov/42812108/</w:t>
      </w:r>
    </w:p>
    <w:p>
      <w:pPr>
        <w:pStyle w:val="Heading2"/>
      </w:pPr>
      <w:r>
        <w:t>Vielfalt in psychische Forschung: unterrepräsentierte Merkmale bei elektronischen Patientendaten</w:t>
      </w:r>
    </w:p>
    <w:p>
      <w:r>
        <w:rPr>
          <w:i/>
          <w:color w:val="666666"/>
          <w:sz w:val="18"/>
        </w:rPr>
        <w:t>Broadbent A et al.  ·  BMJ Open  ·  28.09.2026  ·  PMID 42805638</w:t>
      </w:r>
    </w:p>
    <w:p>
      <w:r>
        <w:t>Cross-sectionale Übersichtsarbeit zu Berichterstattung von Diversitätsmerkmalen (Alter, Geschlecht, ethnische Herkunft etc.) in 362 Publikationen einer britischen psychiatrischen Datenbank und deren tatsächliche Verfügbarkeit in den Rohdaten.</w:t>
      </w:r>
    </w:p>
    <w:p>
      <w:r>
        <w:rPr>
          <w:b/>
        </w:rPr>
        <w:t xml:space="preserve">Ergebnis: </w:t>
      </w:r>
      <w:r>
        <w:t>Alter (89,3%), Geschlecht (87,3%) und ethnische Herkunft (80,4%) wurden häufig berichtet, während Wohnungslosigkeit trotz 97,5% Verfügbarkeit in nur 5,8% der Studien erwähnt wurde. Ein erhebliches Reporting-Defizit unterrepräsentierter Gruppen deutet auf Lücken bei der Abbildung von Ungleichheit in der Versorgungsforschung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elektronische Routinedaten NHS; ähnliche Herausforderungen in deutschen EHR-basierten Systemen zu erwarten.</w:t>
      </w:r>
    </w:p>
    <w:p>
      <w:r>
        <w:rPr>
          <w:color w:val="5A7D3A"/>
          <w:sz w:val="18"/>
        </w:rPr>
        <w:t>https://pubmed.ncbi.nlm.nih.gov/42805638/</w:t>
      </w:r>
    </w:p>
    <w:p>
      <w:pPr>
        <w:pStyle w:val="Heading2"/>
      </w:pPr>
      <w:r>
        <w:t>Maschinenlesbare Zugangsregeln für sensible Forschungsdaten in europäischen Infrastrukturen</w:t>
      </w:r>
    </w:p>
    <w:p>
      <w:r>
        <w:rPr>
          <w:i/>
          <w:color w:val="666666"/>
          <w:sz w:val="18"/>
        </w:rPr>
        <w:t>van der Meer L et al.  ·  Int J Popul Data Sci  ·  17.09.2026  ·  PMID 42757321</w:t>
      </w:r>
    </w:p>
    <w:p>
      <w:r>
        <w:t>Framework zur Standardisierung von Zugangsregeln für sensible Daten durch maschinenlesbare Bedingungen (auf Basis von Open Digital Rights Language) – entwickelt und getestet in der niederländischen Sozialwissenschaftslandschaft für Trusted Research Environments.</w:t>
      </w:r>
    </w:p>
    <w:p>
      <w:r>
        <w:rPr>
          <w:b/>
        </w:rPr>
        <w:t xml:space="preserve">Ergebnis: </w:t>
      </w:r>
      <w:r>
        <w:t>Proposed framework operationalisiert rechtliche und organisatorische Überwachung transparent, nachvollziehbar und interoperabel. Reduziert Fragmentierung, Verwaltungsaufwand und Inkonsistenzen bei Zugangsbestimmungen; anwendbar über europäische Dateninfrastrukturen.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Datenschutzsystem; Modell für deutsche Datengovernance (NFDI, MII) und GDPR-Compliance übertragbar.</w:t>
      </w:r>
    </w:p>
    <w:p>
      <w:r>
        <w:rPr>
          <w:color w:val="5A7D3A"/>
          <w:sz w:val="18"/>
        </w:rPr>
        <w:t>https://pubmed.ncbi.nlm.nih.gov/42757321/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