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11.09.2026  |  7 Studien  |  mental.m-vf.de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Kurzkurse Internettherapie für Sozialangststörung: höhere Adhärenz ohne Wirksamkeitsverlust</w:t>
      </w:r>
    </w:p>
    <w:p>
      <w:r>
        <w:rPr>
          <w:i/>
          <w:color w:val="666666"/>
          <w:sz w:val="18"/>
        </w:rPr>
        <w:t>Laizane AP et al.  ·  J Med Internet Res  ·  10.09.2026  ·  PMID 42721423</w:t>
      </w:r>
    </w:p>
    <w:p>
      <w:r>
        <w:t>Retrospektive Analyse eines finnischen 7-Wochen-Programms für internetgestützte Verhaltenstherapie (iCBT) zur Behandlung von Sozialangststörung in der Routineversorgung mit 1.654 Patienten (2019-2022).</w:t>
      </w:r>
    </w:p>
    <w:p>
      <w:r>
        <w:rPr>
          <w:b/>
        </w:rPr>
        <w:t xml:space="preserve">Ergebnis: </w:t>
      </w:r>
      <w:r>
        <w:t>41,1 % der Teilnehmer zeigten klinisch relevante Verbesserungen, 54 % beendeten das Programm; durchschnittliche Completion 5,74 von 7 Sitzungen (82 % %, deutlich höher als frühere 9+-Wochen-Programme mit 59–68 %). Effektgröße Cohen d=1,09 in der Intentional-to-treat-Population.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vergleichbares öffentliches Versicherungssystem, hohe IT-Infrastruktur.</w:t>
      </w:r>
    </w:p>
    <w:p>
      <w:r>
        <w:rPr>
          <w:color w:val="5A7D3A"/>
          <w:sz w:val="18"/>
        </w:rPr>
        <w:t>https://pubmed.ncbi.nlm.nih.gov/42721423/</w:t>
      </w:r>
    </w:p>
    <w:p>
      <w:pPr>
        <w:pStyle w:val="Heading2"/>
      </w:pPr>
      <w:r>
        <w:t>Antipsychotika-Zugang für Schizophrenie in Afrika: Konsens zu Prioritäten</w:t>
      </w:r>
    </w:p>
    <w:p>
      <w:r>
        <w:rPr>
          <w:i/>
          <w:color w:val="666666"/>
          <w:sz w:val="18"/>
        </w:rPr>
        <w:t>Smith KA et al.  ·  Lancet Psychiatry  ·  Okt. 2026  ·  PMID 42716058</w:t>
      </w:r>
    </w:p>
    <w:p>
      <w:r>
        <w:t>Internationale Expertengruppe (INTERDEM) erstellte Konsensempfehlungen für Antipsychotika-Versorgung in Äthiopien, Nigeria, Ruanda und Südafrika unter Nutzung validierter Konsensus-Methodologie.</w:t>
      </w:r>
    </w:p>
    <w:p>
      <w:r>
        <w:rPr>
          <w:b/>
        </w:rPr>
        <w:t xml:space="preserve">Ergebnis: </w:t>
      </w:r>
      <w:r>
        <w:t>Empfohlene Liste prioritärer Medikamente für vier afrikanische Länder; Identifikation erheblicher Evidenzlücken: wenig lokale Daten, selektive Studiengruppen, unzureichende Abbildung von Realwelt-Versorgungskomplexität.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 mit niedrigem/mittlerem Einkommen – Erkenntnisse zur Prioritätensetzung übertragbar, aber Finanzierung und Zugang grundlegend anders als in Deutschland.</w:t>
      </w:r>
    </w:p>
    <w:p>
      <w:r>
        <w:rPr>
          <w:color w:val="5A7D3A"/>
          <w:sz w:val="18"/>
        </w:rPr>
        <w:t>https://pubmed.ncbi.nlm.nih.gov/42716058/</w:t>
      </w:r>
    </w:p>
    <w:p>
      <w:pPr>
        <w:pStyle w:val="Heading2"/>
      </w:pPr>
      <w:r>
        <w:t>Telemedizin ohne Erfolg: Zugang zu Nachsorge bei Jugendlichen nach Krise bleibt gering</w:t>
      </w:r>
    </w:p>
    <w:p>
      <w:r>
        <w:rPr>
          <w:i/>
          <w:color w:val="666666"/>
          <w:sz w:val="18"/>
        </w:rPr>
        <w:t>Wennberg E et al.  ·  JMIR Ment Health  ·  09.09.2026  ·  PMID 42714935</w:t>
      </w:r>
    </w:p>
    <w:p>
      <w:r>
        <w:t>Kanadische bevölkerungsbasierte Wiederholungsquerschnitte (n=59.909 Fälle, 2009–2024) zur Assoziation der Telemedizin-Ausweitung mit psychiatrischer Nachsorge nach ED-/stationären Erstkonakten.</w:t>
      </w:r>
    </w:p>
    <w:p>
      <w:r>
        <w:rPr>
          <w:b/>
        </w:rPr>
        <w:t xml:space="preserve">Ergebnis: </w:t>
      </w:r>
      <w:r>
        <w:t>Vor Telemedizin: 17,6 % der ED-Patienten und 21,9 % der stationären Patienten in 7 Tagen nachversorgt; temporäre Ausweitung: kurzfristig +4,8 bis +7,5 %, dann linearer Rückgang; permanente Ausweitung: Reduktion in ländlichen Regionen. Keine nachhaltigen Verbesserungen oder Chancengleichheit.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öffentlicher Sektor – Zeigt, dass technologische Ausweitung ohne Workflows-Anpassung und Steuerung Zugang nicht verbreitert.</w:t>
      </w:r>
    </w:p>
    <w:p>
      <w:r>
        <w:rPr>
          <w:color w:val="5A7D3A"/>
          <w:sz w:val="18"/>
        </w:rPr>
        <w:t>https://pubmed.ncbi.nlm.nih.gov/42714935/</w:t>
      </w:r>
    </w:p>
    <w:p>
      <w:pPr>
        <w:pStyle w:val="Heading2"/>
      </w:pPr>
      <w:r>
        <w:t>Psychische Gesundheit ukrainischer Flüchtlinge: hohe Symptomlasten, niedriger Zugang zu Hilfe</w:t>
      </w:r>
    </w:p>
    <w:p>
      <w:r>
        <w:rPr>
          <w:i/>
          <w:color w:val="666666"/>
          <w:sz w:val="18"/>
        </w:rPr>
        <w:t>Bednářová A et al.  ·  Int J Public Health  ·  25.08.2026  ·  PMID 42713341</w:t>
      </w:r>
    </w:p>
    <w:p>
      <w:r>
        <w:t>Querschnittserhebung bei 100 ukrainischen Erwachsenen (Mittelwert 35,5 Jahre) zur psychischen Gesundheit und Inanspruchnahme während des Krieges.</w:t>
      </w:r>
    </w:p>
    <w:p>
      <w:r>
        <w:rPr>
          <w:b/>
        </w:rPr>
        <w:t xml:space="preserve">Ergebnis: </w:t>
      </w:r>
      <w:r>
        <w:t>70 % berichteten depressive Symptome, 80 % Angst, 31 % erfüllten Kriterien für wahrscheinliche PTBS; aber nur 15 % suchten psychologische Hilfe. Wahrgenommener Stress sagte stärkere psychische Symptome und höhere Inanspruchnahme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Ukraine im Kontext militärischer Krise – Befund zur Behandlungslücke auch relevant für Versorgungsplanung in Hochlast-Szenarien.</w:t>
      </w:r>
    </w:p>
    <w:p>
      <w:r>
        <w:rPr>
          <w:color w:val="5A7D3A"/>
          <w:sz w:val="18"/>
        </w:rPr>
        <w:t>https://pubmed.ncbi.nlm.nih.gov/42713341/</w:t>
      </w:r>
    </w:p>
    <w:p>
      <w:pPr>
        <w:pStyle w:val="Heading2"/>
      </w:pPr>
      <w:r>
        <w:t>Psychische Gesundheit älterer Menschen nach COVID-19 in Spanien bleibt beeinträchtigt</w:t>
      </w:r>
    </w:p>
    <w:p>
      <w:r>
        <w:rPr>
          <w:i/>
          <w:color w:val="666666"/>
          <w:sz w:val="18"/>
        </w:rPr>
        <w:t>Esteban-Sepúlveda S et al.  ·  BMC Geriatr  ·  07.08.2026  ·  PMID 42701179</w:t>
      </w:r>
    </w:p>
    <w:p>
      <w:r>
        <w:t>Prospektive 18-Monats-Kohortenstudie an 1.072 Personen ab 75 Jahren in primärer Versorgung über elf spanische Regionen: geriatrische Funktionsfähigkeit, emotionaler Status, Ernährung und Lebensqualität.</w:t>
      </w:r>
    </w:p>
    <w:p>
      <w:r>
        <w:rPr>
          <w:b/>
        </w:rPr>
        <w:t xml:space="preserve">Ergebnis: </w:t>
      </w:r>
      <w:r>
        <w:t>Gradueller Rückgang in funktioneller Fähigkeit, Ernährungsstatus und Lebensqualität über Zeit; Angst zeigte differentielle Trajektorie bei COVID-19-Infizierten (p=0,043). Versorgung nach langer COVID bleibt suboptimal trotz klinischer Genesung.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Sozialversicherungssystem, ähnliche Altendemografie wie Deutschland – Hinweis auf nachhaltigen psychosozialen Versorgungsbedarf.</w:t>
      </w:r>
    </w:p>
    <w:p>
      <w:r>
        <w:rPr>
          <w:color w:val="5A7D3A"/>
          <w:sz w:val="18"/>
        </w:rPr>
        <w:t>https://pubmed.ncbi.nlm.nih.gov/42701179/</w:t>
      </w:r>
    </w:p>
    <w:p>
      <w:pPr>
        <w:pStyle w:val="Heading2"/>
      </w:pPr>
      <w:r>
        <w:t>Wie Intensivpatienten mit Delir umgehen: Qualitative Synthese zur aktiven Bewältigung</w:t>
      </w:r>
    </w:p>
    <w:p>
      <w:r>
        <w:rPr>
          <w:i/>
          <w:color w:val="666666"/>
          <w:sz w:val="18"/>
        </w:rPr>
        <w:t>Oh E et al.  ·  Crit Care  ·  21.08.2026  ·  PMID 42629591</w:t>
      </w:r>
    </w:p>
    <w:p>
      <w:r>
        <w:t>Mixed-Methods-Systematischer Review (JBI) von zehn qualitativen Studien (1999–2025) zu Bewältigungsstrategien von ICU-Patienten und Familien während Delirium-Episoden.</w:t>
      </w:r>
    </w:p>
    <w:p>
      <w:r>
        <w:rPr>
          <w:b/>
        </w:rPr>
        <w:t xml:space="preserve">Ergebnis: </w:t>
      </w:r>
      <w:r>
        <w:t>Patienten nutzen problemfokussierte (Sinnsuche, Realitätsorientierung), emotionsfokussierte (Sozialkontakt, Distanzierung) und bedeutungsorientierte Strategien (Neubewertung, Identitätserhalt). Familien unterstützen Patient und bewältigen eigene psychische Belastung; keine quantitativen Vergleichsstudien vorhanden.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Zehn Länder (7 europäisch), aber nur qualitative Daten – Implikation: systematische Kopplung von Coping-Interventionen mit Psychosozialunterstützung in intensiver Versorgung notwendig.</w:t>
      </w:r>
    </w:p>
    <w:p>
      <w:r>
        <w:rPr>
          <w:color w:val="5A7D3A"/>
          <w:sz w:val="18"/>
        </w:rPr>
        <w:t>https://pubmed.ncbi.nlm.nih.gov/42629591/</w:t>
      </w:r>
    </w:p>
    <w:p>
      <w:pPr>
        <w:pStyle w:val="Heading2"/>
      </w:pPr>
      <w:r>
        <w:t>Schlafstörungen signalisieren psychiatrische Erkrankung Jahre voraus</w:t>
      </w:r>
    </w:p>
    <w:p>
      <w:r>
        <w:rPr>
          <w:i/>
          <w:color w:val="666666"/>
          <w:sz w:val="18"/>
        </w:rPr>
        <w:t>Guo J et al.  ·  Eur Arch Psychiatry Clin Neurosci  ·  11.08.2026  ·  PMID 42579149</w:t>
      </w:r>
    </w:p>
    <w:p>
      <w:r>
        <w:t>Schwedische Längsschnittstudie (n=24.038, 2010-2018) zur Assoziation von Schlafmerkmalen (Dauer, Symptome) mit Inzidenz psychiatrischer Diagnosen über Kopplungsregister.</w:t>
      </w:r>
    </w:p>
    <w:p>
      <w:r>
        <w:rPr>
          <w:b/>
        </w:rPr>
        <w:t xml:space="preserve">Ergebnis: </w:t>
      </w:r>
      <w:r>
        <w:t>716 neue psychiatrische Diagnosen (2,9 %); U-förmige Assoziation zwischen Schlafdauer und Erkrankungsrisiko; mentale Müdigkeit zeigte stärkste Assoziation (HR 2,09, 95%-KI 1,77–2,48). Insomnie-Symptome verschärften sich graduell vor Diagnose, besserten sich danach teilweise.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öffentliches Versicherungssystem, nationale Registervernetzung – Screening auf Schlafstörungen als Frühwarnsystem machbar in strukturierten Systemen.</w:t>
      </w:r>
    </w:p>
    <w:p>
      <w:r>
        <w:rPr>
          <w:color w:val="5A7D3A"/>
          <w:sz w:val="18"/>
        </w:rPr>
        <w:t>https://pubmed.ncbi.nlm.nih.gov/42579149/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