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Psychische Gesundheit</w:t>
      </w:r>
    </w:p>
    <w:p>
      <w:r>
        <w:rPr>
          <w:i/>
          <w:color w:val="666666"/>
          <w:sz w:val="18"/>
        </w:rPr>
        <w:t>Stand: 26.10.2026  |  5 Studien  |  mental.m-vf.de</w:t>
      </w:r>
    </w:p>
    <w:p>
      <w:pPr>
        <w:pStyle w:val="Heading1"/>
      </w:pPr>
      <w:r>
        <w:t>Aufgenommen am 26.10.2026</w:t>
      </w:r>
    </w:p>
    <w:p>
      <w:pPr>
        <w:pStyle w:val="Heading2"/>
      </w:pPr>
      <w:r>
        <w:t>Achtsamkeit reduzierte Bewegungsangst bei älteren Patienten mit Kniearthrose</w:t>
      </w:r>
    </w:p>
    <w:p>
      <w:r>
        <w:rPr>
          <w:i/>
          <w:color w:val="666666"/>
          <w:sz w:val="18"/>
        </w:rPr>
        <w:t>Kheirkhah Z et al.  ·  Clin Interv Aging  ·  20.10.2026  ·  PMID 42927343</w:t>
      </w:r>
    </w:p>
    <w:p>
      <w:r>
        <w:t>Randomisierte kontrollierte Studie mit 56 älteren Patienten (Iran, 2024): Interventionsgruppe erhielt 8 Sitzungen à 90 Minuten Mindfulness-Based Cognitive Therapy, Kontrollgruppe Routineversorgung; gemessen wurde Kinesiophobia mit Tampa Scale for Kinesiophobia (TSK11) zu Baseline, Woche 4 und Woche 8.</w:t>
      </w:r>
    </w:p>
    <w:p>
      <w:r>
        <w:rPr>
          <w:b/>
        </w:rPr>
        <w:t xml:space="preserve">Ergebnis: </w:t>
      </w:r>
      <w:r>
        <w:t>Interventionsgruppe: Kinesiophobia-Score fiel von 29,46±3,81 auf 25,68±3,22 in Woche 8; Kontrollgruppe von 28,64±4,78 auf 26,68±5,15. Signifikante Gruppe-x-Zeit-Interaktion (Wilks Λ=0,88; F(2,50)=3,34; p=0,040; ηp²=0,11). Angepasste Differenz baseline zu Woche 8: –1,60 Punkte (95%-KI –3,25 bis 0,05; p=0,05), grenzt an Signifikanz. Innerhalb-Gruppe-Vergleiche zeigten in Interventionsgruppe signifikante Reduktion über alle Zeitintervalle (p&lt;0,001).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Iran – keine direkten Strukturparallelen, aber Befund zur psychologischen Intervention bei älteren Menschen mit somatischen Erkrankungen methodisch valide.</w:t>
      </w:r>
    </w:p>
    <w:p>
      <w:r>
        <w:rPr>
          <w:color w:val="5A7D3A"/>
          <w:sz w:val="18"/>
        </w:rPr>
        <w:t>https://pubmed.ncbi.nlm.nih.gov/42927343/</w:t>
      </w:r>
    </w:p>
    <w:p>
      <w:pPr>
        <w:pStyle w:val="Heading2"/>
      </w:pPr>
      <w:r>
        <w:t>Ländliche Demenz-Patienten melden dreimal mehr ungedeckte Versorgungsbedarfe</w:t>
      </w:r>
    </w:p>
    <w:p>
      <w:r>
        <w:rPr>
          <w:i/>
          <w:color w:val="666666"/>
          <w:sz w:val="18"/>
        </w:rPr>
        <w:t>Parikh RR et al.  ·  J Rural Health  ·  Sept. 2026  ·  PMID 42924567</w:t>
      </w:r>
    </w:p>
    <w:p>
      <w:r>
        <w:t>Querschnittsstudie aus National Core Indicators-Survey (2016–2019) mit 14.645 älteren Einwohnern in 23 US-Bundesstaaten, stratifiziert nach Demenzstatus und ländlich-urbaner Herkunft zu ungedeckten Bedarfen für Dienste im häuslichen und gemeindlichen Bereich.</w:t>
      </w:r>
    </w:p>
    <w:p>
      <w:r>
        <w:rPr>
          <w:b/>
        </w:rPr>
        <w:t xml:space="preserve">Ergebnis: </w:t>
      </w:r>
      <w:r>
        <w:t>Bei Menschen mit Demenz: ungedeckte Versorgungsbedarfe in ländlichen Räumen 44,8% vs. 30,7% in Metropolen (OR 1,83; 95%-KI 1,11–3,04). Kleinstädte 36,3% (OR 1,44; 0,97–2,13), Mikropolen 35,4% (OR 1,32; 0,98–1,77). Umgekehrtes Muster ohne Demenz. Signifikante Disparität für vulnerable Gruppe.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 – Versorgungsstruktur grundlegend anders, aber Befund zur ländlichen Benachteiligung übertragbar auf Deutschland.</w:t>
      </w:r>
    </w:p>
    <w:p>
      <w:r>
        <w:rPr>
          <w:color w:val="5A7D3A"/>
          <w:sz w:val="18"/>
        </w:rPr>
        <w:t>https://pubmed.ncbi.nlm.nih.gov/42924567/</w:t>
      </w:r>
    </w:p>
    <w:p>
      <w:pPr>
        <w:pStyle w:val="Heading2"/>
      </w:pPr>
      <w:r>
        <w:t>Behandlungslücken für psychische Störungen in der Landversorgung Brasiliens</w:t>
      </w:r>
    </w:p>
    <w:p>
      <w:r>
        <w:rPr>
          <w:i/>
          <w:color w:val="666666"/>
          <w:sz w:val="18"/>
        </w:rPr>
        <w:t>Sombra LL et al.  ·  Epidemiol Serv Saude  ·  20.07.2026  ·  PMID 42922930</w:t>
      </w:r>
    </w:p>
    <w:p>
      <w:r>
        <w:t>Querschnittsstudie mit 277 Einwohnern zweier ländlicher Gemeinden in Ceará/Brasilien zur Assoziation zwischen Häufigkeit psychischer Störungen und Versorgungsqualität durch das öffentliche Gesundheitsnetz.</w:t>
      </w:r>
    </w:p>
    <w:p>
      <w:r>
        <w:rPr>
          <w:b/>
        </w:rPr>
        <w:t xml:space="preserve">Ergebnis: </w:t>
      </w:r>
      <w:r>
        <w:t>Psychische Störungen prävalent bei 21,3% der Bevölkerung, aber nur 17% mit Diagnose und 13,5% in Regelversorgung. Präsenz von Störungen korreliert mit Konsultation im letzten Jahr (PR 2,46; 95%-KI 1,37–4,42), vorheriger Diagnose (PR 1,87; 1,13–3,09) und Bewertung des öffentlichen Dienstes als schlecht (PR 2,19; 1,24–3,87). 40% berichten Mangel an Fachpersonal. Erhebliche diagnostische und therapeutische Lücken in der Primärversorgung.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Brasilien – strukturelle Parallelen zu ländlichen Regionen in Deutschland, vergleichbare Finanzierungsprobleme.</w:t>
      </w:r>
    </w:p>
    <w:p>
      <w:r>
        <w:rPr>
          <w:color w:val="5A7D3A"/>
          <w:sz w:val="18"/>
        </w:rPr>
        <w:t>https://pubmed.ncbi.nlm.nih.gov/42922930/</w:t>
      </w:r>
    </w:p>
    <w:p>
      <w:pPr>
        <w:pStyle w:val="Heading2"/>
      </w:pPr>
      <w:r>
        <w:t>Psychopharmaka-Verordnungen während und nach COVID-19 in Peru schwankend</w:t>
      </w:r>
    </w:p>
    <w:p>
      <w:r>
        <w:rPr>
          <w:i/>
          <w:color w:val="666666"/>
          <w:sz w:val="18"/>
        </w:rPr>
        <w:t>Salvador-Carrillo J et al.  ·  Front Public Health  ·  09.10.2026  ·  PMID 42921510</w:t>
      </w:r>
    </w:p>
    <w:p>
      <w:r>
        <w:t>Unterbrochene Zeitreihenanalyse von 6.151 stationären Patienten mit psychiatrischen Diagnosen in einem peruanischen Allgemeinkrankenhaus September 2020 bis Dezember 2024 zur Abbildung von Verordnungstrends.</w:t>
      </w:r>
    </w:p>
    <w:p>
      <w:r>
        <w:rPr>
          <w:b/>
        </w:rPr>
        <w:t xml:space="preserve">Ergebnis: </w:t>
      </w:r>
      <w:r>
        <w:t>Gesamtrate psychotroper Verordnungen post-Pandemie höher als während Pandemie (1.308 vs. 1.254 pro 1.000 Konsultationen; p=0,023). Phase 1 (nach erster Welle): signifikanter Abwärtstrend (β=–25,53; 95%-KI –43,82 bis –7,01; p=0,007). Phase 2 (zweite Welle): abrupter Anstieg um 295,53 Punkte (p=0,014) und Trendumkehr (p=0,016). Antidepressiva zeigten ähnliches Muster, Anxiolytika transienten Anstieg, Antipsychotika stabil.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Peru – Middle-Income-Land mit Dokumentationsproblematiken, Struktur unterscheidet sich von deutschem Versorgungssystem.</w:t>
      </w:r>
    </w:p>
    <w:p>
      <w:r>
        <w:rPr>
          <w:color w:val="5A7D3A"/>
          <w:sz w:val="18"/>
        </w:rPr>
        <w:t>https://pubmed.ncbi.nlm.nih.gov/42921510/</w:t>
      </w:r>
    </w:p>
    <w:p>
      <w:pPr>
        <w:pStyle w:val="Heading2"/>
      </w:pPr>
      <w:r>
        <w:t>Drei Verlaufsmuster für therapiegefährdete Patienten identifiziert</w:t>
      </w:r>
    </w:p>
    <w:p>
      <w:r>
        <w:rPr>
          <w:i/>
          <w:color w:val="666666"/>
          <w:sz w:val="18"/>
        </w:rPr>
        <w:t>Moggia D et al.  ·  J Consult Clin Psychol  ·  Sept. 2026  ·  PMID 42911789</w:t>
      </w:r>
    </w:p>
    <w:p>
      <w:r>
        <w:t>Analyse von 573 Patienten, die in Feedback-gestützter Psychotherapie an einer Universitätsklinik als ‚nicht-auf-Spur' (NOT) flaggt wurden; Growth-Mixture-Modeling identifizierte Verlaufsmuster, multinomiale logistische Regression prädizierten diese anhand Intake-Variablen.</w:t>
      </w:r>
    </w:p>
    <w:p>
      <w:r>
        <w:rPr>
          <w:b/>
        </w:rPr>
        <w:t xml:space="preserve">Ergebnis: </w:t>
      </w:r>
      <w:r>
        <w:t>Drei Verlaufsmuster: C1 schwerwiegend-bescheidene Verbesserer (symptomatisch schwer bei Flaggung, dann moderat besser), C2 schwerwiegend-schnelle Verbesserer (schwer bei Flaggung, dann schnell besser), C3 moderat-verbesserer. Muster unterschieden sich bei Symptomgewichtung, Persönlichkeitsstörungs-Merkmalen, interpersonalen Problemen und Emotionsregulationsschwierigkeiten. Zwei Muster mit akzeptabler Genauigkeit vorhersagbar. Alle Subgruppen zeigten Verbesserung, aber NOT-Signal nicht homogen zu interpretieren.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Psychotherapie-Forschung aus universitärem Setting (Trier), Befund zu Patientenheterogenität und Früherkennung von Therapieversagern relevant für deutsche Versorgung.</w:t>
      </w:r>
    </w:p>
    <w:p>
      <w:r>
        <w:rPr>
          <w:color w:val="5A7D3A"/>
          <w:sz w:val="18"/>
        </w:rPr>
        <w:t>https://pubmed.ncbi.nlm.nih.gov/42911789/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Psychische Gesundheit</dc:title>
  <dc:subject/>
  <dc:creator>Monitor Versorgungsforschung</dc:creator>
  <cp:keywords/>
  <dc:description>generated by python-docx</dc:description>
  <cp:lastModifiedBy/>
  <cp:revision>1</cp:revision>
  <dcterms:created xsi:type="dcterms:W3CDTF">2026-10-26T06:00:00Z</dcterms:created>
  <dcterms:modified xsi:type="dcterms:W3CDTF">2026-10-26T06:00:00Z</dcterms:modified>
  <cp:category/>
</cp:coreProperties>
</file>