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26.10.2026  |  377 Studien  |  mental.m-vf.de</w:t>
      </w:r>
    </w:p>
    <w:p>
      <w:pPr>
        <w:pStyle w:val="Heading1"/>
      </w:pPr>
      <w:r>
        <w:t>Aufgenommen am 26.10.2026</w:t>
      </w:r>
    </w:p>
    <w:p>
      <w:pPr>
        <w:pStyle w:val="Heading2"/>
      </w:pPr>
      <w:r>
        <w:t>Achtsamkeit reduzierte Bewegungsangst bei älteren Patienten mit Kniearthrose</w:t>
      </w:r>
    </w:p>
    <w:p>
      <w:r>
        <w:rPr>
          <w:i/>
          <w:color w:val="666666"/>
          <w:sz w:val="18"/>
        </w:rPr>
        <w:t>Kheirkhah Z et al.  ·  Clin Interv Aging  ·  20.10.2026  ·  PMID 42927343</w:t>
      </w:r>
    </w:p>
    <w:p>
      <w:r>
        <w:t>Randomisierte kontrollierte Studie mit 56 älteren Patienten (Iran, 2024): Interventionsgruppe erhielt 8 Sitzungen à 90 Minuten Mindfulness-Based Cognitive Therapy, Kontrollgruppe Routineversorgung; gemessen wurde Kinesiophobia mit Tampa Scale for Kinesiophobia (TSK11) zu Baseline, Woche 4 und Woche 8.</w:t>
      </w:r>
    </w:p>
    <w:p>
      <w:r>
        <w:rPr>
          <w:b/>
        </w:rPr>
        <w:t xml:space="preserve">Ergebnis: </w:t>
      </w:r>
      <w:r>
        <w:t>Interventionsgruppe: Kinesiophobia-Score fiel von 29,46±3,81 auf 25,68±3,22 in Woche 8; Kontrollgruppe von 28,64±4,78 auf 26,68±5,15. Signifikante Gruppe-x-Zeit-Interaktion (Wilks Λ=0,88; F(2,50)=3,34; p=0,040; ηp²=0,11). Angepasste Differenz baseline zu Woche 8: –1,60 Punkte (95%-KI –3,25 bis 0,05; p=0,05), grenzt an Signifikanz. Innerhalb-Gruppe-Vergleiche zeigten in Interventionsgruppe signifikante Reduktion über alle Zeitintervalle (p&lt;0,001).</w:t>
      </w:r>
    </w:p>
    <w:p>
      <w:r>
        <w:rPr>
          <w:b/>
          <w:sz w:val="19"/>
        </w:rPr>
        <w:t xml:space="preserve">Übertragbarkeit: </w:t>
      </w:r>
      <w:r>
        <w:rPr>
          <w:sz w:val="19"/>
        </w:rPr>
        <w:t>Iran – keine direkten Strukturparallelen, aber Befund zur psychologischen Intervention bei älteren Menschen mit somatischen Erkrankungen methodisch valide.</w:t>
      </w:r>
    </w:p>
    <w:p>
      <w:r>
        <w:rPr>
          <w:color w:val="5A7D3A"/>
          <w:sz w:val="18"/>
        </w:rPr>
        <w:t>https://pubmed.ncbi.nlm.nih.gov/42927343/</w:t>
      </w:r>
    </w:p>
    <w:p>
      <w:pPr>
        <w:pStyle w:val="Heading2"/>
      </w:pPr>
      <w:r>
        <w:t>Ländliche Demenz-Patienten melden dreimal mehr ungedeckte Versorgungsbedarfe</w:t>
      </w:r>
    </w:p>
    <w:p>
      <w:r>
        <w:rPr>
          <w:i/>
          <w:color w:val="666666"/>
          <w:sz w:val="18"/>
        </w:rPr>
        <w:t>Parikh RR et al.  ·  J Rural Health  ·  Sept. 2026  ·  PMID 42924567</w:t>
      </w:r>
    </w:p>
    <w:p>
      <w:r>
        <w:t>Querschnittsstudie aus National Core Indicators-Survey (2016–2019) mit 14.645 älteren Einwohnern in 23 US-Bundesstaaten, stratifiziert nach Demenzstatus und ländlich-urbaner Herkunft zu ungedeckten Bedarfen für Dienste im häuslichen und gemeindlichen Bereich.</w:t>
      </w:r>
    </w:p>
    <w:p>
      <w:r>
        <w:rPr>
          <w:b/>
        </w:rPr>
        <w:t xml:space="preserve">Ergebnis: </w:t>
      </w:r>
      <w:r>
        <w:t>Bei Menschen mit Demenz: ungedeckte Versorgungsbedarfe in ländlichen Räumen 44,8% vs. 30,7% in Metropolen (OR 1,83; 95%-KI 1,11–3,04). Kleinstädte 36,3% (OR 1,44; 0,97–2,13), Mikropolen 35,4% (OR 1,32; 0,98–1,77). Umgekehrtes Muster ohne Demenz. Signifikante Disparität für vulnerable Gruppe.</w:t>
      </w:r>
    </w:p>
    <w:p>
      <w:r>
        <w:rPr>
          <w:b/>
          <w:sz w:val="19"/>
        </w:rPr>
        <w:t xml:space="preserve">Übertragbarkeit: </w:t>
      </w:r>
      <w:r>
        <w:rPr>
          <w:sz w:val="19"/>
        </w:rPr>
        <w:t>USA – Versorgungsstruktur grundlegend anders, aber Befund zur ländlichen Benachteiligung übertragbar auf Deutschland.</w:t>
      </w:r>
    </w:p>
    <w:p>
      <w:r>
        <w:rPr>
          <w:color w:val="5A7D3A"/>
          <w:sz w:val="18"/>
        </w:rPr>
        <w:t>https://pubmed.ncbi.nlm.nih.gov/42924567/</w:t>
      </w:r>
    </w:p>
    <w:p>
      <w:pPr>
        <w:pStyle w:val="Heading2"/>
      </w:pPr>
      <w:r>
        <w:t>Behandlungslücken für psychische Störungen in der Landversorgung Brasiliens</w:t>
      </w:r>
    </w:p>
    <w:p>
      <w:r>
        <w:rPr>
          <w:i/>
          <w:color w:val="666666"/>
          <w:sz w:val="18"/>
        </w:rPr>
        <w:t>Sombra LL et al.  ·  Epidemiol Serv Saude  ·  20.07.2026  ·  PMID 42922930</w:t>
      </w:r>
    </w:p>
    <w:p>
      <w:r>
        <w:t>Querschnittsstudie mit 277 Einwohnern zweier ländlicher Gemeinden in Ceará/Brasilien zur Assoziation zwischen Häufigkeit psychischer Störungen und Versorgungsqualität durch das öffentliche Gesundheitsnetz.</w:t>
      </w:r>
    </w:p>
    <w:p>
      <w:r>
        <w:rPr>
          <w:b/>
        </w:rPr>
        <w:t xml:space="preserve">Ergebnis: </w:t>
      </w:r>
      <w:r>
        <w:t>Psychische Störungen prävalent bei 21,3% der Bevölkerung, aber nur 17% mit Diagnose und 13,5% in Regelversorgung. Präsenz von Störungen korreliert mit Konsultation im letzten Jahr (PR 2,46; 95%-KI 1,37–4,42), vorheriger Diagnose (PR 1,87; 1,13–3,09) und Bewertung des öffentlichen Dienstes als schlecht (PR 2,19; 1,24–3,87). 40% berichten Mangel an Fachpersonal. Erhebliche diagnostische und therapeutische Lücken in der Primärversorgung.</w:t>
      </w:r>
    </w:p>
    <w:p>
      <w:r>
        <w:rPr>
          <w:b/>
          <w:sz w:val="19"/>
        </w:rPr>
        <w:t xml:space="preserve">Übertragbarkeit: </w:t>
      </w:r>
      <w:r>
        <w:rPr>
          <w:sz w:val="19"/>
        </w:rPr>
        <w:t>Brasilien – strukturelle Parallelen zu ländlichen Regionen in Deutschland, vergleichbare Finanzierungsprobleme.</w:t>
      </w:r>
    </w:p>
    <w:p>
      <w:r>
        <w:rPr>
          <w:color w:val="5A7D3A"/>
          <w:sz w:val="18"/>
        </w:rPr>
        <w:t>https://pubmed.ncbi.nlm.nih.gov/42922930/</w:t>
      </w:r>
    </w:p>
    <w:p>
      <w:pPr>
        <w:pStyle w:val="Heading2"/>
      </w:pPr>
      <w:r>
        <w:t>Psychopharmaka-Verordnungen während und nach COVID-19 in Peru schwankend</w:t>
      </w:r>
    </w:p>
    <w:p>
      <w:r>
        <w:rPr>
          <w:i/>
          <w:color w:val="666666"/>
          <w:sz w:val="18"/>
        </w:rPr>
        <w:t>Salvador-Carrillo J et al.  ·  Front Public Health  ·  09.10.2026  ·  PMID 42921510</w:t>
      </w:r>
    </w:p>
    <w:p>
      <w:r>
        <w:t>Unterbrochene Zeitreihenanalyse von 6.151 stationären Patienten mit psychiatrischen Diagnosen in einem peruanischen Allgemeinkrankenhaus September 2020 bis Dezember 2024 zur Abbildung von Verordnungstrends.</w:t>
      </w:r>
    </w:p>
    <w:p>
      <w:r>
        <w:rPr>
          <w:b/>
        </w:rPr>
        <w:t xml:space="preserve">Ergebnis: </w:t>
      </w:r>
      <w:r>
        <w:t>Gesamtrate psychotroper Verordnungen post-Pandemie höher als während Pandemie (1.308 vs. 1.254 pro 1.000 Konsultationen; p=0,023). Phase 1 (nach erster Welle): signifikanter Abwärtstrend (β=–25,53; 95%-KI –43,82 bis –7,01; p=0,007). Phase 2 (zweite Welle): abrupter Anstieg um 295,53 Punkte (p=0,014) und Trendumkehr (p=0,016). Antidepressiva zeigten ähnliches Muster, Anxiolytika transienten Anstieg, Antipsychotika stabil.</w:t>
      </w:r>
    </w:p>
    <w:p>
      <w:r>
        <w:rPr>
          <w:b/>
          <w:sz w:val="19"/>
        </w:rPr>
        <w:t xml:space="preserve">Übertragbarkeit: </w:t>
      </w:r>
      <w:r>
        <w:rPr>
          <w:sz w:val="19"/>
        </w:rPr>
        <w:t>Peru – Middle-Income-Land mit Dokumentationsproblematiken, Struktur unterscheidet sich von deutschem Versorgungssystem.</w:t>
      </w:r>
    </w:p>
    <w:p>
      <w:r>
        <w:rPr>
          <w:color w:val="5A7D3A"/>
          <w:sz w:val="18"/>
        </w:rPr>
        <w:t>https://pubmed.ncbi.nlm.nih.gov/42921510/</w:t>
      </w:r>
    </w:p>
    <w:p>
      <w:pPr>
        <w:pStyle w:val="Heading2"/>
      </w:pPr>
      <w:r>
        <w:t>Drei Verlaufsmuster für therapiegefährdete Patienten identifiziert</w:t>
      </w:r>
    </w:p>
    <w:p>
      <w:r>
        <w:rPr>
          <w:i/>
          <w:color w:val="666666"/>
          <w:sz w:val="18"/>
        </w:rPr>
        <w:t>Moggia D et al.  ·  J Consult Clin Psychol  ·  Sept. 2026  ·  PMID 42911789</w:t>
      </w:r>
    </w:p>
    <w:p>
      <w:r>
        <w:t>Analyse von 573 Patienten, die in Feedback-gestützter Psychotherapie an einer Universitätsklinik als ‚nicht-auf-Spur' (NOT) flaggt wurden; Growth-Mixture-Modeling identifizierte Verlaufsmuster, multinomiale logistische Regression prädizierten diese anhand Intake-Variablen.</w:t>
      </w:r>
    </w:p>
    <w:p>
      <w:r>
        <w:rPr>
          <w:b/>
        </w:rPr>
        <w:t xml:space="preserve">Ergebnis: </w:t>
      </w:r>
      <w:r>
        <w:t>Drei Verlaufsmuster: C1 schwerwiegend-bescheidene Verbesserer (symptomatisch schwer bei Flaggung, dann moderat besser), C2 schwerwiegend-schnelle Verbesserer (schwer bei Flaggung, dann schnell besser), C3 moderat-verbesserer. Muster unterschieden sich bei Symptomgewichtung, Persönlichkeitsstörungs-Merkmalen, interpersonalen Problemen und Emotionsregulationsschwierigkeiten. Zwei Muster mit akzeptabler Genauigkeit vorhersagbar. Alle Subgruppen zeigten Verbesserung, aber NOT-Signal nicht homogen zu interpretieren.</w:t>
      </w:r>
    </w:p>
    <w:p>
      <w:r>
        <w:rPr>
          <w:b/>
          <w:sz w:val="19"/>
        </w:rPr>
        <w:t xml:space="preserve">Übertragbarkeit: </w:t>
      </w:r>
      <w:r>
        <w:rPr>
          <w:sz w:val="19"/>
        </w:rPr>
        <w:t>Psychotherapie-Forschung aus universitärem Setting (Trier), Befund zu Patientenheterogenität und Früherkennung von Therapieversagern relevant für deutsche Versorgung.</w:t>
      </w:r>
    </w:p>
    <w:p>
      <w:r>
        <w:rPr>
          <w:color w:val="5A7D3A"/>
          <w:sz w:val="18"/>
        </w:rPr>
        <w:t>https://pubmed.ncbi.nlm.nih.gov/42911789/</w:t>
      </w:r>
    </w:p>
    <w:p>
      <w:pPr>
        <w:pStyle w:val="Heading1"/>
      </w:pPr>
      <w:r>
        <w:t>Aufgenommen am 25.10.2026</w:t>
      </w:r>
    </w:p>
    <w:p>
      <w:pPr>
        <w:pStyle w:val="Heading2"/>
      </w:pPr>
      <w:r>
        <w:t>Kumulative Lebenskrisen verkürzen psychische Gesundheit, stärker bei Frauen</w:t>
      </w:r>
    </w:p>
    <w:p>
      <w:r>
        <w:rPr>
          <w:i/>
          <w:color w:val="666666"/>
          <w:sz w:val="18"/>
        </w:rPr>
        <w:t>Hirch S  ·  BMC Public Health  ·  23.10.2026  ·  PMID 42920136</w:t>
      </w:r>
    </w:p>
    <w:p>
      <w:r>
        <w:t>Sekundäranalyse der English Longitudinal Study of Ageing (Wave 3) zu Zusammenhang zwischen Häufung ungünstiger Lebensereignisse über die Lebensspanne und depressiver Symptomatologie, Lebenszufriedenheit und Lebensqualität mit Fokus auf Geschlechtsunterschiede.</w:t>
      </w:r>
    </w:p>
    <w:p>
      <w:r>
        <w:rPr>
          <w:b/>
        </w:rPr>
        <w:t xml:space="preserve">Ergebnis: </w:t>
      </w:r>
      <w:r>
        <w:t>Kumulative Lebensereignisse sind signifikant mit höherer Depressionswahrscheinlichkeit, niedrigerer Lebenszufriedenheit und reduzierter Lebensqualität assoziiert. Frauen zeigen erhöhte Vulnerabilität für die Auswirkungen der Ereignisakkumulation (Interaktionseffekt für Gesamtscore nachgewiesen).</w:t>
      </w:r>
    </w:p>
    <w:p>
      <w:r>
        <w:rPr>
          <w:b/>
          <w:sz w:val="19"/>
        </w:rPr>
        <w:t xml:space="preserve">Übertragbarkeit: </w:t>
      </w:r>
      <w:r>
        <w:rPr>
          <w:sz w:val="19"/>
        </w:rPr>
        <w:t>Großbritannien; vergleichbare Gesellschaftsstruktur und Gesundheitssystem</w:t>
      </w:r>
    </w:p>
    <w:p>
      <w:r>
        <w:rPr>
          <w:color w:val="5A7D3A"/>
          <w:sz w:val="18"/>
        </w:rPr>
        <w:t>https://pubmed.ncbi.nlm.nih.gov/42920136/</w:t>
      </w:r>
    </w:p>
    <w:p>
      <w:pPr>
        <w:pStyle w:val="Heading2"/>
      </w:pPr>
      <w:r>
        <w:t>Dezentralisierte Demenzversorgung per Telemedizin erreichte 3.521 Sprechstunden</w:t>
      </w:r>
    </w:p>
    <w:p>
      <w:r>
        <w:rPr>
          <w:i/>
          <w:color w:val="666666"/>
          <w:sz w:val="18"/>
        </w:rPr>
        <w:t>Green H et al.  ·  Br J Nurs  ·  22.10.2026  ·  PMID 42912432</w:t>
      </w:r>
    </w:p>
    <w:p>
      <w:r>
        <w:t>Implementierungsbericht des nationalen britischen Projekts ‚Closer to Home', das Demenzspezialisten via mobiler/virtueller Klinik in die Nähe von Patienten bringt und die Erreichbarkeit spezialisierter Demenzversorgung verbessern soll.</w:t>
      </w:r>
    </w:p>
    <w:p>
      <w:r>
        <w:rPr>
          <w:b/>
        </w:rPr>
        <w:t xml:space="preserve">Ergebnis: </w:t>
      </w:r>
      <w:r>
        <w:t>Das Projekt stellte 3.521 Sprechstunden bereit (50% über Zielwert), erhielt positive Patientenbewertungen und führte zur Etablierung einer dauerhaften virtuellen Klinik sowie neuer Pop-up-Services mit adaptiertem Buchungssystem. Nachweislich übertragbar für Versorgungsgestaltung.</w:t>
      </w:r>
    </w:p>
    <w:p>
      <w:r>
        <w:rPr>
          <w:b/>
          <w:sz w:val="19"/>
        </w:rPr>
        <w:t xml:space="preserve">Übertragbarkeit: </w:t>
      </w:r>
      <w:r>
        <w:rPr>
          <w:sz w:val="19"/>
        </w:rPr>
        <w:t>Großbritannien; Modell der Spezialistenzentralisierung mit dezentralem Zugang relevant für deutsche Flächenländer</w:t>
      </w:r>
    </w:p>
    <w:p>
      <w:r>
        <w:rPr>
          <w:color w:val="5A7D3A"/>
          <w:sz w:val="18"/>
        </w:rPr>
        <w:t>https://pubmed.ncbi.nlm.nih.gov/42912432/</w:t>
      </w:r>
    </w:p>
    <w:p>
      <w:pPr>
        <w:pStyle w:val="Heading2"/>
      </w:pPr>
      <w:r>
        <w:t>Parent-basierte Angstbehandlung: Effekte von SPACE und CBT nach 12 Monaten stabil</w:t>
      </w:r>
    </w:p>
    <w:p>
      <w:r>
        <w:rPr>
          <w:i/>
          <w:color w:val="666666"/>
          <w:sz w:val="18"/>
        </w:rPr>
        <w:t>Etkin RG et al.  ·  J Consult Clin Psychol  ·  Sept. 2026  ·  PMID 42911791</w:t>
      </w:r>
    </w:p>
    <w:p>
      <w:r>
        <w:t>Randomisierte kontrollierte Nichtunterlegenheitsstudie mit 125 Mutter-Kind-Dyaden zu Aufrechterhaltung der Effekte nach parent-basierter Angstbehandlung (SPACE) vs. kognitiv-behavioraler Therapie (CBT) über 12 Monate Follow-up.</w:t>
      </w:r>
    </w:p>
    <w:p>
      <w:r>
        <w:rPr>
          <w:b/>
        </w:rPr>
        <w:t xml:space="preserve">Ergebnis: </w:t>
      </w:r>
      <w:r>
        <w:t>SPACE und CBT zeigten beide signifikante, stabile Reduktionen von Angststörung und Familienakkommodation bis 12 Monate. Nach Elternangabe waren Angststörungen bei SPACE geringer als CBT (posttreatment und 12-Monate). Erstmaliger Nachweis, dass SPACE-Gewinne über 1 Jahr aufrechterhalten bleiben, vergleichbar mit CBT.</w:t>
      </w:r>
    </w:p>
    <w:p>
      <w:r>
        <w:rPr>
          <w:b/>
          <w:sz w:val="19"/>
        </w:rPr>
        <w:t xml:space="preserve">Übertragbarkeit: </w:t>
      </w:r>
      <w:r>
        <w:rPr>
          <w:sz w:val="19"/>
        </w:rPr>
        <w:t>USA; RCT-Design, aber parent-based Ansatz relevant für deutsche Ambulanzpraxen und Kliniken</w:t>
      </w:r>
    </w:p>
    <w:p>
      <w:r>
        <w:rPr>
          <w:color w:val="5A7D3A"/>
          <w:sz w:val="18"/>
        </w:rPr>
        <w:t>https://pubmed.ncbi.nlm.nih.gov/42911791/</w:t>
      </w:r>
    </w:p>
    <w:p>
      <w:pPr>
        <w:pStyle w:val="Heading2"/>
      </w:pPr>
      <w:r>
        <w:t>Behavioral Activation für Adoleszenten: Wirksamkeit ungeklärt, Mechanismen unklar</w:t>
      </w:r>
    </w:p>
    <w:p>
      <w:r>
        <w:rPr>
          <w:i/>
          <w:color w:val="666666"/>
          <w:sz w:val="18"/>
        </w:rPr>
        <w:t>Haslam R et al.  ·  Psychol Med  ·  22.10.2026  ·  PMID 42910461</w:t>
      </w:r>
    </w:p>
    <w:p>
      <w:r>
        <w:t>Narrative Übersichtsarbeit zu Reward-Dysfunktion als Mechanismus jugendlicher Depression und Potential von Behavioral Activation (BA) als zielgerichtete Intervention, auf Basis neurowissenschaftlicher und klinischer Literatur.</w:t>
      </w:r>
    </w:p>
    <w:p>
      <w:r>
        <w:rPr>
          <w:b/>
        </w:rPr>
        <w:t xml:space="preserve">Ergebnis: </w:t>
      </w:r>
      <w:r>
        <w:t>Evidenz für Effektivität und Machbarkeit von BA bei Jugendlichen mit Depression nachgewiesen, aber Mechanismen noch unbekannt und Fragen zur optimalen Umsetzung ungeklärt. NICE forderte 2019 weitere Forschung. Spannung zwischen Neurowissenschaft und Praxiserfahrung bleibt offen.</w:t>
      </w:r>
    </w:p>
    <w:p>
      <w:r>
        <w:rPr>
          <w:b/>
          <w:sz w:val="19"/>
        </w:rPr>
        <w:t xml:space="preserve">Übertragbarkeit: </w:t>
      </w:r>
      <w:r>
        <w:rPr>
          <w:sz w:val="19"/>
        </w:rPr>
        <w:t>Schwerpunkt auf Literaturintegration; kein neuer RCT, Implikationen eher für Forschungsagenda</w:t>
      </w:r>
    </w:p>
    <w:p>
      <w:r>
        <w:rPr>
          <w:color w:val="5A7D3A"/>
          <w:sz w:val="18"/>
        </w:rPr>
        <w:t>https://pubmed.ncbi.nlm.nih.gov/42910461/</w:t>
      </w:r>
    </w:p>
    <w:p>
      <w:pPr>
        <w:pStyle w:val="Heading2"/>
      </w:pPr>
      <w:r>
        <w:t>Schulschießerei in Serbien: 85% der Eltern berichten Angst, nur 3,8% nutzen Hilfe</w:t>
      </w:r>
    </w:p>
    <w:p>
      <w:r>
        <w:rPr>
          <w:i/>
          <w:color w:val="666666"/>
          <w:sz w:val="18"/>
        </w:rPr>
        <w:t>Stankovic M et al.  ·  Front Public Health  ·  07.10.2026  ·  PMID 42910012</w:t>
      </w:r>
    </w:p>
    <w:p>
      <w:r>
        <w:t>Querschnittstudie mit 1.927 Eltern, die nicht direkt oder indirekt von der Schulschießerei 2023 in Serbien betroffen waren, zu deren Wahrnehmung eigener und kindlicher psychischer Gesundheit sowie Verhalten.</w:t>
      </w:r>
    </w:p>
    <w:p>
      <w:r>
        <w:rPr>
          <w:b/>
        </w:rPr>
        <w:t xml:space="preserve">Ergebnis: </w:t>
      </w:r>
      <w:r>
        <w:t>85,2% der Eltern berichten moderate bis hohe Angst um Kindersicherheit, 38,7% schwer mit Rückgang zur Schule, 48,0% mit intrusiven Gedanken. Pre-Schießerei-Diagnose-Rate 11,7%, aber formale MH-Dienste nur von 3,8% der Kinder und 2,9% der Eltern genutzt. Untererkannte Bedürfnisse, Bedarf für niedrigschwellig erreichbare, nicht-stigmatisierende schulische Psychoedukation statt nur formale Klinik.</w:t>
      </w:r>
    </w:p>
    <w:p>
      <w:r>
        <w:rPr>
          <w:b/>
          <w:sz w:val="19"/>
        </w:rPr>
        <w:t xml:space="preserve">Übertragbarkeit: </w:t>
      </w:r>
      <w:r>
        <w:rPr>
          <w:sz w:val="19"/>
        </w:rPr>
        <w:t>Serbien; Befund zur Unterversorgung trotz erkannter Belastung relevant für Krisenpräparation in Deutschland</w:t>
      </w:r>
    </w:p>
    <w:p>
      <w:r>
        <w:rPr>
          <w:color w:val="5A7D3A"/>
          <w:sz w:val="18"/>
        </w:rPr>
        <w:t>https://pubmed.ncbi.nlm.nih.gov/42910012/</w:t>
      </w:r>
    </w:p>
    <w:p>
      <w:pPr>
        <w:pStyle w:val="Heading2"/>
      </w:pPr>
      <w:r>
        <w:t>Prävention von Drogenkonsum: Jugendliche fordern frühe, entstigmatisierte Unterstützung</w:t>
      </w:r>
    </w:p>
    <w:p>
      <w:r>
        <w:rPr>
          <w:i/>
          <w:color w:val="666666"/>
          <w:sz w:val="18"/>
        </w:rPr>
        <w:t>Retzler C et al.  ·  Front Public Health  ·  06.10.2026  ·  PMID 42903179</w:t>
      </w:r>
    </w:p>
    <w:p>
      <w:r>
        <w:t>Qualitative Studie mit 97 Jugendlichen in sozioökonomisch benachteiligten britischen Regionen zu ihren Haltungen gegenüber Prävention und Barrieren beim Zugang zu Hilfe bei Substanzkonsum.</w:t>
      </w:r>
    </w:p>
    <w:p>
      <w:r>
        <w:rPr>
          <w:b/>
        </w:rPr>
        <w:t xml:space="preserve">Ergebnis: </w:t>
      </w:r>
      <w:r>
        <w:t>Jugendliche bevorzugen nicht-stigmatisierende, schadensminderungsorientierte Präventionsansätze, die früh ansetzen, Eltern einbeziehen und vertrauenswürdige Informationsquellen nutzen. Zentral ist die Vermeidung von Stigmatisierung und die Berücksichtigung sozialer sowie systemischer Faktoren.</w:t>
      </w:r>
    </w:p>
    <w:p>
      <w:r>
        <w:rPr>
          <w:b/>
          <w:sz w:val="19"/>
        </w:rPr>
        <w:t xml:space="preserve">Übertragbarkeit: </w:t>
      </w:r>
      <w:r>
        <w:rPr>
          <w:sz w:val="19"/>
        </w:rPr>
        <w:t>Großbritannien; Implikationen für Schule und Jugendberatung übertragbar auf Deutschland</w:t>
      </w:r>
    </w:p>
    <w:p>
      <w:r>
        <w:rPr>
          <w:color w:val="5A7D3A"/>
          <w:sz w:val="18"/>
        </w:rPr>
        <w:t>https://pubmed.ncbi.nlm.nih.gov/42903179/</w:t>
      </w:r>
    </w:p>
    <w:p>
      <w:pPr>
        <w:pStyle w:val="Heading1"/>
      </w:pPr>
      <w:r>
        <w:t>Aufgenommen am 24.10.2026</w:t>
      </w:r>
    </w:p>
    <w:p>
      <w:pPr>
        <w:pStyle w:val="Heading2"/>
      </w:pPr>
      <w:r>
        <w:t>Eltern von depressiven Jugendlichen: Geringes Wissen, negative Einstellungen, moderate Praxis</w:t>
      </w:r>
    </w:p>
    <w:p>
      <w:r>
        <w:rPr>
          <w:i/>
          <w:color w:val="666666"/>
          <w:sz w:val="18"/>
        </w:rPr>
        <w:t>Zhang Y et al.  ·  BMC Psychiatry  ·  25.07.2026  ·  PMID 42919256</w:t>
      </w:r>
    </w:p>
    <w:p>
      <w:r>
        <w:t>Querschnittstudie mit 138 Eltern von hospitalisierten Jugendlichen mit Depression (Dezember 2023–September 2024) zu depression-bezogenem Wissen, Einstellungen und Praktiken (KAP) mittels 25-Item-Fragebogen (10 Wissen, 9 Einstellungen, 6 Praktiken).</w:t>
      </w:r>
    </w:p>
    <w:p>
      <w:r>
        <w:rPr>
          <w:b/>
        </w:rPr>
        <w:t xml:space="preserve">Ergebnis: </w:t>
      </w:r>
      <w:r>
        <w:t>Standardisierte Werte (0–100): Wissen 54,33±13,59; Einstellungen 59,29±10,93; Praktiken 73,77±12,20; gesamt 60,78±7,46. Wissen, Einstellungen und Gesamtwert unterschieden sich nach Alter, Beruf und Bildung. In Multivariaten Modellen: Alter, Beruf, Bildung und Einkommen unabhängig mit KAP-Gesamtwert assoziiert (alle p&lt;0,05). Eltern zeigten begrenzte Krankheits-Wissensvermittlung, komparativ negative Einstellungen und moderate Praktiken.</w:t>
      </w:r>
    </w:p>
    <w:p>
      <w:r>
        <w:rPr>
          <w:b/>
          <w:sz w:val="19"/>
        </w:rPr>
        <w:t xml:space="preserve">Übertragbarkeit: </w:t>
      </w:r>
      <w:r>
        <w:rPr>
          <w:sz w:val="19"/>
        </w:rPr>
        <w:t>China, Eltern-Psychoedukation; zeigt Wissenslücken in Elternschaft—relevant für deutsche Maßnahmen bei Jugendlichendepression und Angehörigenbegleitung.</w:t>
      </w:r>
    </w:p>
    <w:p>
      <w:r>
        <w:rPr>
          <w:color w:val="5A7D3A"/>
          <w:sz w:val="18"/>
        </w:rPr>
        <w:t>https://pubmed.ncbi.nlm.nih.gov/42919256/</w:t>
      </w:r>
    </w:p>
    <w:p>
      <w:pPr>
        <w:pStyle w:val="Heading2"/>
      </w:pPr>
      <w:r>
        <w:t>Schulen und Systembrüche: Haupthindernisse für psychosoziale Versorgung von Jugendlichen</w:t>
      </w:r>
    </w:p>
    <w:p>
      <w:r>
        <w:rPr>
          <w:i/>
          <w:color w:val="666666"/>
          <w:sz w:val="18"/>
        </w:rPr>
        <w:t>Paclikova K et al.  ·  Int J Public Health  ·  07.10.2026  ·  PMID 42908673</w:t>
      </w:r>
    </w:p>
    <w:p>
      <w:r>
        <w:t>Konzept-Mapping-Studie mit 33 Fachpersonen aus Tschechien und der Slowakei identifizierte dringende, aber schwer umsetzbare Verbesserungen in der psychosozialen Versorgung von Jugendlichen mit emotionalen und Verhaltensproblemen.</w:t>
      </w:r>
    </w:p>
    <w:p>
      <w:r>
        <w:rPr>
          <w:b/>
        </w:rPr>
        <w:t xml:space="preserve">Ergebnis: </w:t>
      </w:r>
      <w:r>
        <w:t>43 Maßnahmen wurden in 5 Cluster kategorisiert; 13 Maßnahmen als hochdringlich, aber nicht umsetzbar eingestuft. Die meisten betrafen Schulsystemänderungen (Cluster 1), Verbesserung der Systemtransparenz und -funktionalität (Cluster 2) sowie gesetzliche Bedingungen. Hauptbarrieren waren Personalkapazität, Fragmentierung der Versorgung und mangelnde Schulkoordination.</w:t>
      </w:r>
    </w:p>
    <w:p>
      <w:r>
        <w:rPr>
          <w:b/>
          <w:sz w:val="19"/>
        </w:rPr>
        <w:t xml:space="preserve">Übertragbarkeit: </w:t>
      </w:r>
      <w:r>
        <w:rPr>
          <w:sz w:val="19"/>
        </w:rPr>
        <w:t>Europäisches System mit vergleichbarer psychiatrischer Infrastruktur und Finanzierung; Erkenntnisse zur Systemfragmentierung übertragbar auf Deutschland.</w:t>
      </w:r>
    </w:p>
    <w:p>
      <w:r>
        <w:rPr>
          <w:color w:val="5A7D3A"/>
          <w:sz w:val="18"/>
        </w:rPr>
        <w:t>https://pubmed.ncbi.nlm.nih.gov/42908673/</w:t>
      </w:r>
    </w:p>
    <w:p>
      <w:pPr>
        <w:pStyle w:val="Heading2"/>
      </w:pPr>
      <w:r>
        <w:t>Progressive Muskelrelaxation reduzierte Traumasymptome nach Erdbeben deutlich</w:t>
      </w:r>
    </w:p>
    <w:p>
      <w:r>
        <w:rPr>
          <w:i/>
          <w:color w:val="666666"/>
          <w:sz w:val="18"/>
        </w:rPr>
        <w:t>Karadaşlı T et al.  ·  BMC Psychiatry  ·  19.09.2026  ·  PMID 42907791</w:t>
      </w:r>
    </w:p>
    <w:p>
      <w:r>
        <w:t>Randomisierte kontrollierte Studie mit 44 Erdbebenüberlebenden (n=22 je Gruppe) zur Wirksamkeit von Progressive-Muskelrelaxations-Training (PMRT) via Telerehabilitation bei PTBS nach dem Kahramanmaraş-Erdbeben 2023.</w:t>
      </w:r>
    </w:p>
    <w:p>
      <w:r>
        <w:rPr>
          <w:b/>
        </w:rPr>
        <w:t xml:space="preserve">Ergebnis: </w:t>
      </w:r>
      <w:r>
        <w:t>PMRT-Gruppe: PTBS-Symptomeschwere signifikant gesunken (p&lt;0,001; η²p=0,735). Verbesserungen auch bei Depression (η²p=0,435), Angst (η²p=0,521), Stress (η²p=0,504), Schlafqualität (η²p=0,632), körperliche (η²p=0,727) und mentale Lebensqualität (η²p=0,630) vs. Kontrolle. Kontrollgruppe: keine Verbesserungen, Schlaf und körperliche Gesundheit verschlechtert sich.</w:t>
      </w:r>
    </w:p>
    <w:p>
      <w:r>
        <w:rPr>
          <w:b/>
          <w:sz w:val="19"/>
        </w:rPr>
        <w:t xml:space="preserve">Übertragbarkeit: </w:t>
      </w:r>
      <w:r>
        <w:rPr>
          <w:sz w:val="19"/>
        </w:rPr>
        <w:t>Türkei, Nachbarland mit ähnlichen Traumatisierungsszenarien; Telerehabilitation übertragbar auf deutsche Strukturen bei Krisensituationen.</w:t>
      </w:r>
    </w:p>
    <w:p>
      <w:r>
        <w:rPr>
          <w:color w:val="5A7D3A"/>
          <w:sz w:val="18"/>
        </w:rPr>
        <w:t>https://pubmed.ncbi.nlm.nih.gov/42907791/</w:t>
      </w:r>
    </w:p>
    <w:p>
      <w:pPr>
        <w:pStyle w:val="Heading2"/>
      </w:pPr>
      <w:r>
        <w:t>Europäische Psychiater: Psychosoziale Interventionen bei bipolarer Störung untergenutzt</w:t>
      </w:r>
    </w:p>
    <w:p>
      <w:r>
        <w:rPr>
          <w:i/>
          <w:color w:val="666666"/>
          <w:sz w:val="18"/>
        </w:rPr>
        <w:t>Sani G et al.  ·  Eur Psychiatry  ·  21.10.2026  ·  PMID 42904336</w:t>
      </w:r>
    </w:p>
    <w:p>
      <w:r>
        <w:t>Querschnittstudie mit 654 Psychiatern und Assistenzärzten aus 40 europäischen Ländern zur Behandlungspräferenz bei bipolarer Störung.</w:t>
      </w:r>
    </w:p>
    <w:p>
      <w:r>
        <w:rPr>
          <w:b/>
        </w:rPr>
        <w:t xml:space="preserve">Ergebnis: </w:t>
      </w:r>
      <w:r>
        <w:t>Mehrheit bevorzugte Pharmakotherapie als Kombination von zwei bis drei Wirkstoffen; Lithium am häufigsten in allen Krankheitsphasen. Psychosoziale Interventionen nicht systematisch implementiert, besonders bei manischen und gemischten Episoden. Latent-Class-Analyse identifizierte vier unterschiedliche Verschreibungsprofile. Psychoedukation und kognitiv-behaviorale Therapie in bis zu 40 % der depressiven Phase empfohlen.</w:t>
      </w:r>
    </w:p>
    <w:p>
      <w:r>
        <w:rPr>
          <w:b/>
          <w:sz w:val="19"/>
        </w:rPr>
        <w:t xml:space="preserve">Übertragbarkeit: </w:t>
      </w:r>
      <w:r>
        <w:rPr>
          <w:sz w:val="19"/>
        </w:rPr>
        <w:t>40 europäische Länder, hohe Vergleichbarkeit zur deutschen Psychiatrie; zeigt Implementierungslücke bei evidenzgestützten Richtlinien.</w:t>
      </w:r>
    </w:p>
    <w:p>
      <w:r>
        <w:rPr>
          <w:color w:val="5A7D3A"/>
          <w:sz w:val="18"/>
        </w:rPr>
        <w:t>https://pubmed.ncbi.nlm.nih.gov/42904336/</w:t>
      </w:r>
    </w:p>
    <w:p>
      <w:pPr>
        <w:pStyle w:val="Heading2"/>
      </w:pPr>
      <w:r>
        <w:t>Stadtinfrastruktur Busse: Ressource für Genesung von Psychose im urbanen Alltag</w:t>
      </w:r>
    </w:p>
    <w:p>
      <w:r>
        <w:rPr>
          <w:i/>
          <w:color w:val="666666"/>
          <w:sz w:val="18"/>
        </w:rPr>
        <w:t>Winz M et al.  ·  Sociol Health Illn  ·  Nov. 2026  ·  PMID 42899344</w:t>
      </w:r>
    </w:p>
    <w:p>
      <w:r>
        <w:t>Qualitative geografische Studie mit jungen Menschen in Genesung von Früh-Psychose (Lausanne, Schweiz) zur Rolle von Businfrastruktur als Ressource oder Hindernis für Recovery, Autonomie und Stadtbeteiligung.</w:t>
      </w:r>
    </w:p>
    <w:p>
      <w:r>
        <w:rPr>
          <w:b/>
        </w:rPr>
        <w:t xml:space="preserve">Ergebnis: </w:t>
      </w:r>
      <w:r>
        <w:t>Busse fungieren als affektive Rettungsleinen, Autonomie-Anker und Gateways zu formalen/informalen Wellbeing-Ressourcen; unterstützen Recovery und Wiederengagement mit der Stadt. Gleichzeitig: Sinnesüberstimulation, Nähe zu anderen, Angst vor Überwachung, finanzielle Barrieren. Mobilität durch Begegnungen mit urbaner Infrastruktur relational konstituiert—Busse können Kapazitäten zur Stadtbeteiligung kultivieren oder unterminieren.</w:t>
      </w:r>
    </w:p>
    <w:p>
      <w:r>
        <w:rPr>
          <w:b/>
          <w:sz w:val="19"/>
        </w:rPr>
        <w:t xml:space="preserve">Übertragbarkeit: </w:t>
      </w:r>
      <w:r>
        <w:rPr>
          <w:sz w:val="19"/>
        </w:rPr>
        <w:t>Schweiz, vergleichbares Versicherungssystem; konzeptualisiert Mobility als Versorgungsfaktor—relevant für deutsche Community-Psychiatrie und urbane Gesundheitsplanung.</w:t>
      </w:r>
    </w:p>
    <w:p>
      <w:r>
        <w:rPr>
          <w:color w:val="5A7D3A"/>
          <w:sz w:val="18"/>
        </w:rPr>
        <w:t>https://pubmed.ncbi.nlm.nih.gov/42899344/</w:t>
      </w:r>
    </w:p>
    <w:p>
      <w:pPr>
        <w:pStyle w:val="Heading2"/>
      </w:pPr>
      <w:r>
        <w:t>Deutsche Kohortenstudie: Luftverschmutzung und Hitze erhöhen Depressionsrisiko</w:t>
      </w:r>
    </w:p>
    <w:p>
      <w:r>
        <w:rPr>
          <w:i/>
          <w:color w:val="666666"/>
          <w:sz w:val="18"/>
        </w:rPr>
        <w:t>Wang Y et al.  ·  Environ Int  ·  27.09.2026  ·  PMID 42810139</w:t>
      </w:r>
    </w:p>
    <w:p>
      <w:r>
        <w:t>Längsschnittanalyse von über 70.000 erwachsenen Deutschen (Baseline 2014–2019, Follow-up 2020, 2022) zu Assoziationen zwischen Umweltexpositionen (Luftqualität, Temperatur, Grünflächenanteil) und Depressivität, Angst, Stress.</w:t>
      </w:r>
    </w:p>
    <w:p>
      <w:r>
        <w:rPr>
          <w:b/>
        </w:rPr>
        <w:t xml:space="preserve">Ergebnis: </w:t>
      </w:r>
      <w:r>
        <w:t>Höhere Lufttemperatur pro IQR assoziiert mit höherer Depressivität (β=0,07, 95%-KI 0,03–0,12), Angst (β=0,05, 95%-KI 0,01–0,09) und Stress (β=0,05, 95%-KI 0,01–0,09). NO₂-Exposition assoziiert mit höherer Depressivität (β=0,08, 95%-KI 0,03–0,14). Höhere Bevölkerungsdichte (100m-Radius) mit höherer Depressivität, Angst, Stress. Höhere Grünflächen, Niederschlag und relative Feuchte mit niedrigerer Depressivität. Stärkere Effekte bei Frauen, jüngeren Erwachsenen, Adipösen und in Städten.</w:t>
      </w:r>
    </w:p>
    <w:p>
      <w:r>
        <w:rPr>
          <w:b/>
          <w:sz w:val="19"/>
        </w:rPr>
        <w:t xml:space="preserve">Übertragbarkeit: </w:t>
      </w:r>
      <w:r>
        <w:rPr>
          <w:sz w:val="19"/>
        </w:rPr>
        <w:t>Deutsche Nationale Kohorte (NAKO), nationale Datengrundlage; unmittelbar auf deutsche Versorgungsplanung und Präventionsmaßnahmen anwendbar.</w:t>
      </w:r>
    </w:p>
    <w:p>
      <w:r>
        <w:rPr>
          <w:color w:val="5A7D3A"/>
          <w:sz w:val="18"/>
        </w:rPr>
        <w:t>https://pubmed.ncbi.nlm.nih.gov/42810139/</w:t>
      </w:r>
    </w:p>
    <w:p>
      <w:pPr>
        <w:pStyle w:val="Heading1"/>
      </w:pPr>
      <w:r>
        <w:t>Aufgenommen am 23.10.2026</w:t>
      </w:r>
    </w:p>
    <w:p>
      <w:pPr>
        <w:pStyle w:val="Heading2"/>
      </w:pPr>
      <w:r>
        <w:t>Betreuungsatmosphäre und Zufriedenheit verbessern Stimmung bei Schizophrenie deutlich</w:t>
      </w:r>
    </w:p>
    <w:p>
      <w:r>
        <w:rPr>
          <w:i/>
          <w:color w:val="666666"/>
          <w:sz w:val="18"/>
        </w:rPr>
        <w:t>Martinelli A et al.  ·  BMC Psychiatry  ·  21.10.2026  ·  PMID 42907808</w:t>
      </w:r>
    </w:p>
    <w:p>
      <w:r>
        <w:t>Italien: 68 Bewohner von Supported Accommodations (betreute Wohnformen) mit Schizophrenie-Spektrum-Störungen wurden mittels Experience Sampling Method täglich befragt; Zufriedenheit mit Betreuung und Atmosphäre wurden gemessen.</w:t>
      </w:r>
    </w:p>
    <w:p>
      <w:r>
        <w:rPr>
          <w:b/>
        </w:rPr>
        <w:t xml:space="preserve">Ergebnis: </w:t>
      </w:r>
      <w:r>
        <w:t>Wahrgenommene Betreuungszufriedenheit und Stationsatmosphäre waren der einzige signifikante Prädiktor für momentane Stimmung (β = 0,344, 95%-KI 0,084–0,954, p = 0,033). Strukturgleichungsmodell mit exzellentem Fit (CFI = 1,00, RMSEA = 0,00). Die Betreuungsumgebung war wichtiger als klinische Symptome für Wohlbefinden im Alltag.</w:t>
      </w:r>
    </w:p>
    <w:p>
      <w:r>
        <w:rPr>
          <w:b/>
          <w:sz w:val="19"/>
        </w:rPr>
        <w:t xml:space="preserve">Übertragbarkeit: </w:t>
      </w:r>
      <w:r>
        <w:rPr>
          <w:sz w:val="19"/>
        </w:rPr>
        <w:t>Italien, deutsches System ähnlich bei betreuten Wohnformen der Eingliederungshilfe</w:t>
      </w:r>
    </w:p>
    <w:p>
      <w:r>
        <w:rPr>
          <w:color w:val="5A7D3A"/>
          <w:sz w:val="18"/>
        </w:rPr>
        <w:t>https://pubmed.ncbi.nlm.nih.gov/42907808/</w:t>
      </w:r>
    </w:p>
    <w:p>
      <w:pPr>
        <w:pStyle w:val="Heading2"/>
      </w:pPr>
      <w:r>
        <w:t>Kommunikationstherapie bei Demenz: Kliniker berichten ungleiche Ressourcen und Unsicherheit</w:t>
      </w:r>
    </w:p>
    <w:p>
      <w:r>
        <w:rPr>
          <w:i/>
          <w:color w:val="666666"/>
          <w:sz w:val="18"/>
        </w:rPr>
        <w:t>Hockley A et al.  ·  Int J Lang Commun Disord  ·  Nov. 2026  ·  PMID 42905935</w:t>
      </w:r>
    </w:p>
    <w:p>
      <w:r>
        <w:t>Großbritannien: 18 Sprachtherapeuten in 4 Fokusgruppen berichteten, wie sie entscheiden, ob sie Kommunikationstherapie bei Demenz anbieten; Realist-Methoden identifizierten Barrieren und Enabler.</w:t>
      </w:r>
    </w:p>
    <w:p>
      <w:r>
        <w:rPr>
          <w:b/>
        </w:rPr>
        <w:t xml:space="preserve">Ergebnis: </w:t>
      </w:r>
      <w:r>
        <w:t>8 Themenbereiche identifiziert: Entscheidungen hängen ab von Personalstärke, Prioritätslogik, persönlichen Überzeugungen, Selbstsicherheit und Teamkultur. Angebot von Kommunikationstherapie variiert stark in UK. Eine Entscheidungshilfe könnte Unsicherheit reduzieren und Zugang für unterversorgte Gruppen verbessern, insbesondere durch Schulung, Peer-Support und Dienstmodellbeispiele.</w:t>
      </w:r>
    </w:p>
    <w:p>
      <w:r>
        <w:rPr>
          <w:b/>
          <w:sz w:val="19"/>
        </w:rPr>
        <w:t xml:space="preserve">Übertragbarkeit: </w:t>
      </w:r>
      <w:r>
        <w:rPr>
          <w:sz w:val="19"/>
        </w:rPr>
        <w:t>Großbritannien, vergleichbar mit deutschem Spezialisierungsproblem in Demenzversorgung</w:t>
      </w:r>
    </w:p>
    <w:p>
      <w:r>
        <w:rPr>
          <w:color w:val="5A7D3A"/>
          <w:sz w:val="18"/>
        </w:rPr>
        <w:t>https://pubmed.ncbi.nlm.nih.gov/42905935/</w:t>
      </w:r>
    </w:p>
    <w:p>
      <w:pPr>
        <w:pStyle w:val="Heading2"/>
      </w:pPr>
      <w:r>
        <w:t>Prolonged-Exposure-Training für Gemeindeanbieter erhöht die Implementierung um 48 %</w:t>
      </w:r>
    </w:p>
    <w:p>
      <w:r>
        <w:rPr>
          <w:i/>
          <w:color w:val="666666"/>
          <w:sz w:val="18"/>
        </w:rPr>
        <w:t>Rascol T et al.  ·  Eur J Psychotraumatol  ·  21.10.2026  ·  PMID 42904366</w:t>
      </w:r>
    </w:p>
    <w:p>
      <w:r>
        <w:t>Frankreich: 200 Kliniker aus der Gemeindepsychiatrie wurden in Prolonged Exposure (PE) zur PTBS-Behandlung trainiert. Nach 6 Monaten hatten 84 % mindestens eine PE-Sitzung durchgeführt, 48 % ein vollständiges PE-Protokoll mit einem Patienten abgeschlossen. Höhere Selbstsicherheit nach dem Training sagte Implementierung voraus (OR = 1,35, p = 0,049).</w:t>
      </w:r>
    </w:p>
    <w:p>
      <w:r>
        <w:rPr>
          <w:b/>
        </w:rPr>
        <w:t xml:space="preserve">Ergebnis: </w:t>
      </w:r>
      <w:r>
        <w:t>48 % der Kliniker setzten PE im Routinefall um; 85 % initiierte mindestens eine Sitzung. Wissen und Sicherheit im Umgang mit PTBS stiegen signifikant, Misskonzeptionen zur Expositionstherapie sanken. Diese Implementierungsquoten sind für die Gemeindepsychiatrie beachtlich, erfordern aber zusätzliche systemische Unterstützung.</w:t>
      </w:r>
    </w:p>
    <w:p>
      <w:r>
        <w:rPr>
          <w:b/>
          <w:sz w:val="19"/>
        </w:rPr>
        <w:t xml:space="preserve">Übertragbarkeit: </w:t>
      </w:r>
      <w:r>
        <w:rPr>
          <w:sz w:val="19"/>
        </w:rPr>
        <w:t>Frankreich, deutsches System vergleichbar in gemeindenaher Versorgung und Weiterbildung</w:t>
      </w:r>
    </w:p>
    <w:p>
      <w:r>
        <w:rPr>
          <w:color w:val="5A7D3A"/>
          <w:sz w:val="18"/>
        </w:rPr>
        <w:t>https://pubmed.ncbi.nlm.nih.gov/42904366/</w:t>
      </w:r>
    </w:p>
    <w:p>
      <w:pPr>
        <w:pStyle w:val="Heading2"/>
      </w:pPr>
      <w:r>
        <w:t>Personalstärke allein erklärt Wiederaufnahmen nicht – Systemblick erforderlich</w:t>
      </w:r>
    </w:p>
    <w:p>
      <w:r>
        <w:rPr>
          <w:i/>
          <w:color w:val="666666"/>
          <w:sz w:val="18"/>
        </w:rPr>
        <w:t>Scognamiglio P et al.  ·  Epidemiol Psychiatr Sci  ·  21.10.2026  ·  PMID 42904349</w:t>
      </w:r>
    </w:p>
    <w:p>
      <w:r>
        <w:t>Italien: 21 regionale Verbünde über 10 Jahre (2015-2024) wurden untersucht, ob die jährliche Variation der ärztlich-pflegerischen Personalstärke (pro 100.000 Erwachsene) mit ungeplanten Wiederaufnahmen within 30 Tage nach psychiatrischer Entlassung assoziiert ist.</w:t>
      </w:r>
    </w:p>
    <w:p>
      <w:r>
        <w:rPr>
          <w:b/>
        </w:rPr>
        <w:t xml:space="preserve">Ergebnis: </w:t>
      </w:r>
      <w:r>
        <w:t>Kein signifikanter Zusammenhang zwischen Personalstärke und Wiederaufnahmequoten (IRR 1,006, 95%-KI 0,934–1,034, p = 0,8095). Bei 7-Tage-Wiederaufnahmen: IRR 1,032 (p = 0,67). Sensitivitätsanalysen bestätigten das Nullergebnis. Die Studie warnt vor vereinfachtem Personalmanagement ohne Blick auf post-stationäre Organisation, Deployment und sozioökonomischen Kontext.</w:t>
      </w:r>
    </w:p>
    <w:p>
      <w:r>
        <w:rPr>
          <w:b/>
          <w:sz w:val="19"/>
        </w:rPr>
        <w:t xml:space="preserve">Übertragbarkeit: </w:t>
      </w:r>
      <w:r>
        <w:rPr>
          <w:sz w:val="19"/>
        </w:rPr>
        <w:t>Italien, vergleichbar mit deutschem Klinikdaten-Setting und Dokumentationspflichten</w:t>
      </w:r>
    </w:p>
    <w:p>
      <w:r>
        <w:rPr>
          <w:color w:val="5A7D3A"/>
          <w:sz w:val="18"/>
        </w:rPr>
        <w:t>https://pubmed.ncbi.nlm.nih.gov/42904349/</w:t>
      </w:r>
    </w:p>
    <w:p>
      <w:pPr>
        <w:pStyle w:val="Heading2"/>
      </w:pPr>
      <w:r>
        <w:t>Kurzzeitliche Eltern-Kind-Trennung in der Kindheit assoziiert mit anhaltenden Depressionen</w:t>
      </w:r>
    </w:p>
    <w:p>
      <w:r>
        <w:rPr>
          <w:i/>
          <w:color w:val="666666"/>
          <w:sz w:val="18"/>
        </w:rPr>
        <w:t>Yim IS et al.  ·  Eur J Psychotraumatol  ·  21.10.2026  ·  PMID 42902774</w:t>
      </w:r>
    </w:p>
    <w:p>
      <w:r>
        <w:t>Deutschland: 334 sogenannte Verschickungskinder (Personen, die in den 1950er–70er Jahren mehrere Wochen in Kindererholungsheimen untergebracht waren) wurden mit 77 Kontrollpersonen verglichen; psychische Langzeitfolgen wurden untersucht.</w:t>
      </w:r>
    </w:p>
    <w:p>
      <w:r>
        <w:rPr>
          <w:b/>
        </w:rPr>
        <w:t xml:space="preserve">Ergebnis: </w:t>
      </w:r>
      <w:r>
        <w:t>Verschickungskinder berichteten signifikant mehr depressive Symptome, Angst und Stresserleben als Kontrollgruppe (alle p &lt; 0,001). Jüngeres Alter bei Trennung korrelierte mit mehr Depressionen; wiederholte Trennungen mit höherer Stressbelastung. Sehr negative Erinnerungen waren multivariat der einzige signifikante Prädiktor für Depressionen (p = 0,02) und Angst (p = 0,009). Diese Langzeitfolgen stellen eine unerkannte Versorgungslast dar.</w:t>
      </w:r>
    </w:p>
    <w:p>
      <w:r>
        <w:rPr>
          <w:b/>
          <w:sz w:val="19"/>
        </w:rPr>
        <w:t xml:space="preserve">Übertragbarkeit: </w:t>
      </w:r>
      <w:r>
        <w:rPr>
          <w:sz w:val="19"/>
        </w:rPr>
        <w:t>Deutschland, deutsche Fallzahlen und Phänomen</w:t>
      </w:r>
    </w:p>
    <w:p>
      <w:r>
        <w:rPr>
          <w:color w:val="5A7D3A"/>
          <w:sz w:val="18"/>
        </w:rPr>
        <w:t>https://pubmed.ncbi.nlm.nih.gov/42902774/</w:t>
      </w:r>
    </w:p>
    <w:p>
      <w:pPr>
        <w:pStyle w:val="Heading2"/>
      </w:pPr>
      <w:r>
        <w:t>Psychische Gesundheitsförderung und Prävention bleiben unterversorg – Handlungsauftrag für Länder</w:t>
      </w:r>
    </w:p>
    <w:p>
      <w:r>
        <w:rPr>
          <w:i/>
          <w:color w:val="666666"/>
          <w:sz w:val="18"/>
        </w:rPr>
        <w:t>Campion J et al.  ·  Eur Psychiatry  ·  21.10.2026  ·  PMID 42902741</w:t>
      </w:r>
    </w:p>
    <w:p>
      <w:r>
        <w:t>Europäische Perspektive: Experten aus der WHO Europe, EPA und internationalen Organisationen analysieren die Versorgungslücken bei Prävention, Früherkennung und Gesundheitsförderung psychischer Erkrankungen in der europäischen Region.</w:t>
      </w:r>
    </w:p>
    <w:p>
      <w:r>
        <w:rPr>
          <w:b/>
        </w:rPr>
        <w:t xml:space="preserve">Ergebnis: </w:t>
      </w:r>
      <w:r>
        <w:t>Nur eine Minderheit in Europa erhält Behandlung für psychische Erkrankungen; noch weniger erhalten Präventionsinterventionen oder Angebote zur Resilienzförderung. Erforderliche Maßnahmen: PMH-Bedarfsassessment, menschenrechtsbasierte Ansätze, Schulung verschiedener Sektoren, Nutzung digitaler Technologie, Priorisierung hochimpaktiver Interventionen. Skalierung würde breite bevölkerungsweite Impacts und Kosteneinsparungen erzielen.</w:t>
      </w:r>
    </w:p>
    <w:p>
      <w:r>
        <w:rPr>
          <w:b/>
          <w:sz w:val="19"/>
        </w:rPr>
        <w:t xml:space="preserve">Übertragbarkeit: </w:t>
      </w:r>
      <w:r>
        <w:rPr>
          <w:sz w:val="19"/>
        </w:rPr>
        <w:t>Europa-Perspektive mit DACH-Relevanz zu Prävention und Auftragsfinanzierung</w:t>
      </w:r>
    </w:p>
    <w:p>
      <w:r>
        <w:rPr>
          <w:color w:val="5A7D3A"/>
          <w:sz w:val="18"/>
        </w:rPr>
        <w:t>https://pubmed.ncbi.nlm.nih.gov/42902741/</w:t>
      </w:r>
    </w:p>
    <w:p>
      <w:pPr>
        <w:pStyle w:val="Heading1"/>
      </w:pPr>
      <w:r>
        <w:t>Aufgenommen am 22.10.2026</w:t>
      </w:r>
    </w:p>
    <w:p>
      <w:pPr>
        <w:pStyle w:val="Heading2"/>
      </w:pPr>
      <w:r>
        <w:t>Kognitionstraining in der Hausarztpraxis: Umsetzungsstrategie für ältere Menschen mit Mild Cognitive Impairment</w:t>
      </w:r>
    </w:p>
    <w:p>
      <w:r>
        <w:rPr>
          <w:i/>
          <w:color w:val="666666"/>
          <w:sz w:val="18"/>
        </w:rPr>
        <w:t>Yuan S et al.  ·  BMC Geriatr  ·  23.07.2026  ·  PMID 42902222</w:t>
      </w:r>
    </w:p>
    <w:p>
      <w:r>
        <w:t>Studienprotokoll für eine clusterrandomisierte Faktorialstdie (2×2×2-Design) zur Prüfung einer dreitelementigen Implementierungsstrategie (erweiterte Schulung, Finanzierungsanreize, Führungsbeteiligung) für Kognitionstraining durch Hausarztteams in 16 Pekinger Gemeindegesundheitszentren (Zielgruppe: ältere Menschen mit MCI).</w:t>
      </w:r>
    </w:p>
    <w:p>
      <w:r>
        <w:rPr>
          <w:b/>
        </w:rPr>
        <w:t xml:space="preserve">Ergebnis: </w:t>
      </w:r>
      <w:r>
        <w:t>Studienprotokoll; primärer Endpunkt ist die Initiierung der Bereitstellung von Kognitionstraining durch Hausärzte (Wechsel von Nicht-Angebot zu Angebot). Sekundäre Endpunkte: Selbstwirksamkeit der Anbieter, kognitive Funktion der Patienten, Abdeckung, Implementierungsmaße. Sechs Monate Intervention, sechs Monate Beobachtung zur Nachhaltigkeit geplant.</w:t>
      </w:r>
    </w:p>
    <w:p>
      <w:r>
        <w:rPr>
          <w:b/>
          <w:sz w:val="19"/>
        </w:rPr>
        <w:t xml:space="preserve">Übertragbarkeit: </w:t>
      </w:r>
      <w:r>
        <w:rPr>
          <w:sz w:val="19"/>
        </w:rPr>
        <w:t>China, aber Fragen zu Implementierungshürden und -strategien für gemeindenahe Demenzprävention sind international relevant.</w:t>
      </w:r>
    </w:p>
    <w:p>
      <w:r>
        <w:rPr>
          <w:color w:val="5A7D3A"/>
          <w:sz w:val="18"/>
        </w:rPr>
        <w:t>https://pubmed.ncbi.nlm.nih.gov/42902222/</w:t>
      </w:r>
    </w:p>
    <w:p>
      <w:pPr>
        <w:pStyle w:val="Heading2"/>
      </w:pPr>
      <w:r>
        <w:t>Dramatische Techniken bei Trauma: Systematischer Überblick über 26 Studien mit unklarer Evidenzbasis</w:t>
      </w:r>
    </w:p>
    <w:p>
      <w:r>
        <w:rPr>
          <w:i/>
          <w:color w:val="666666"/>
          <w:sz w:val="18"/>
        </w:rPr>
        <w:t>Oliver E et al.  ·  Eur J Psychotraumatol  ·  20.10.2026  ·  PMID 42900683</w:t>
      </w:r>
    </w:p>
    <w:p>
      <w:r>
        <w:t>Systematische Übersicht über Studien zu dramatherapeutischen Interventionen (Psychodrama, Dramatherapie, angewandtes Theater) bei traumatisierten Personen; Beurteilung der Methodenqualität und Evidenzsicherheit.</w:t>
      </w:r>
    </w:p>
    <w:p>
      <w:r>
        <w:rPr>
          <w:b/>
        </w:rPr>
        <w:t xml:space="preserve">Ergebnis: </w:t>
      </w:r>
      <w:r>
        <w:t>26 von 1.461 Studien erfüllten Einschlusskriterien. Einige Arbeiten zeigten Verbesserungen in PTSD, Angst und Depression; Evidenzsicherheit wurde als sehr niedrig eingestuft wegen kleiner Stichproben, unkontrollierter Designs, heterogener Messung und unzureichender Interventionsbeschreibung. Klare Schlussfolgerungen zur Wirksamkeit sind nicht möglich.</w:t>
      </w:r>
    </w:p>
    <w:p>
      <w:r>
        <w:rPr>
          <w:b/>
          <w:sz w:val="19"/>
        </w:rPr>
        <w:t xml:space="preserve">Übertragbarkeit: </w:t>
      </w:r>
      <w:r>
        <w:rPr>
          <w:sz w:val="19"/>
        </w:rPr>
        <w:t>Australien/international; Drama-basierte Ansätze zeigen Potenzial, aber rigoros gestaltete Studien mit standardisierter Messung sind erforderlich.</w:t>
      </w:r>
    </w:p>
    <w:p>
      <w:r>
        <w:rPr>
          <w:color w:val="5A7D3A"/>
          <w:sz w:val="18"/>
        </w:rPr>
        <w:t>https://pubmed.ncbi.nlm.nih.gov/42900683/</w:t>
      </w:r>
    </w:p>
    <w:p>
      <w:pPr>
        <w:pStyle w:val="Heading2"/>
      </w:pPr>
      <w:r>
        <w:t>Hybrid-Modell aus App und Psychotherapie verbessert Angst bei peripartalen Frauen</w:t>
      </w:r>
    </w:p>
    <w:p>
      <w:r>
        <w:rPr>
          <w:i/>
          <w:color w:val="666666"/>
          <w:sz w:val="18"/>
        </w:rPr>
        <w:t>Calvert E et al.  ·  BMC Pregnancy Childbirth  ·  24.07.2026  ·  PMID 42897493</w:t>
      </w:r>
    </w:p>
    <w:p>
      <w:r>
        <w:t>Studie zur Wirkung eines Hybrid-Care-Modells (Smartphone-App mindLAMP plus virtuelle CBT) auf Angst- und Depressionssymptome bei schwangeren und postpartalen Frauen (n=13 peripartal, n=39 Kontrollgruppe).</w:t>
      </w:r>
    </w:p>
    <w:p>
      <w:r>
        <w:rPr>
          <w:b/>
        </w:rPr>
        <w:t xml:space="preserve">Ergebnis: </w:t>
      </w:r>
      <w:r>
        <w:t>GAD-7-Scores bei peripartalen Frauen sanken von 14,4 (SD=5,0) auf 5,5 (SD=4,3), Reduktion um 8,9 Punkte (p&lt;0,01; d=-1,91, 95%-KI: -2,89 bis -0,93); PHQ-9 sank von 9,3 auf 5,6 (Reduktion 3,7 Punkte, p=0,055). Das Modell zeigte Versprechen für zugängliche, evidenzbasierte Versorgung.</w:t>
      </w:r>
    </w:p>
    <w:p>
      <w:r>
        <w:rPr>
          <w:b/>
          <w:sz w:val="19"/>
        </w:rPr>
        <w:t xml:space="preserve">Übertragbarkeit: </w:t>
      </w:r>
      <w:r>
        <w:rPr>
          <w:sz w:val="19"/>
        </w:rPr>
        <w:t>USA, aber Hybrid-Care-Modell könnte Gestaltung der Perinatalpsychiatrie in deutschen Kliniken informieren.</w:t>
      </w:r>
    </w:p>
    <w:p>
      <w:r>
        <w:rPr>
          <w:color w:val="5A7D3A"/>
          <w:sz w:val="18"/>
        </w:rPr>
        <w:t>https://pubmed.ncbi.nlm.nih.gov/42897493/</w:t>
      </w:r>
    </w:p>
    <w:p>
      <w:pPr>
        <w:pStyle w:val="Heading2"/>
      </w:pPr>
      <w:r>
        <w:t>EEG-Neurofeedback bei ADHS im Erwachsenenalter: Systematische Übersicht zeigt keine Wirksamkeit über Placebo</w:t>
      </w:r>
    </w:p>
    <w:p>
      <w:r>
        <w:rPr>
          <w:i/>
          <w:color w:val="666666"/>
          <w:sz w:val="18"/>
        </w:rPr>
        <w:t>Rotkiewicz M et al.  ·  J Neurodev Disord  ·  22.07.2026  ·  PMID 42897476</w:t>
      </w:r>
    </w:p>
    <w:p>
      <w:r>
        <w:t>Systematische Übersicht nach PRISMA-Richtlinien über Studien zu EEG-Neurofeedback bei Erwachsenen mit ADHS (Datenbank bis Oktober 2025); Endpunkte: Symptomänderung, kognitive Leistung, Neurophysiologie, Nebenwirkungen.</w:t>
      </w:r>
    </w:p>
    <w:p>
      <w:r>
        <w:rPr>
          <w:b/>
        </w:rPr>
        <w:t xml:space="preserve">Ergebnis: </w:t>
      </w:r>
      <w:r>
        <w:t>Sieben Studien (drei RCTs, vier nicht-randomisiert; n=390) eingeschlossen. Naturalistische und personalisierte Studien berichteten große Symptomreduktionen; RCTs zeigten kleine, meist nicht-signifikante Effekte gegenüber Kontrollen. Kognitive Verbesserungen inkonsistent und größtenteils Praxiseffekte. Elektrophysiologische Veränderungen waren protokollspezifisch ohne Konvergenz. Keine behandlungsbezogenen Nebenwirkungen. Schlussfolgerung: RCTs zeigen keine Überlegenheit über Placebo; methodische Heterogenität, kleine Stichproben, variable Kontrollen, fehlende Standardisierung begrenzen Evidenzsicherheit.</w:t>
      </w:r>
    </w:p>
    <w:p>
      <w:r>
        <w:rPr>
          <w:b/>
          <w:sz w:val="19"/>
        </w:rPr>
        <w:t xml:space="preserve">Übertragbarkeit: </w:t>
      </w:r>
      <w:r>
        <w:rPr>
          <w:sz w:val="19"/>
        </w:rPr>
        <w:t>Frankreich (Durchführung), aber Befund zur Ineffektivität ist populationsunabhängig.</w:t>
      </w:r>
    </w:p>
    <w:p>
      <w:r>
        <w:rPr>
          <w:color w:val="5A7D3A"/>
          <w:sz w:val="18"/>
        </w:rPr>
        <w:t>https://pubmed.ncbi.nlm.nih.gov/42897476/</w:t>
      </w:r>
    </w:p>
    <w:p>
      <w:pPr>
        <w:pStyle w:val="Heading2"/>
      </w:pPr>
      <w:r>
        <w:t>Rock-and-Roll-Tanzen reduziert Angst und verbessert Selbstwirksamkeit bei chinesischen Studierenden</w:t>
      </w:r>
    </w:p>
    <w:p>
      <w:r>
        <w:rPr>
          <w:i/>
          <w:color w:val="666666"/>
          <w:sz w:val="18"/>
        </w:rPr>
        <w:t>He Y et al.  ·  Front Public Health  ·  02.10.2026  ·  PMID 42890720</w:t>
      </w:r>
    </w:p>
    <w:p>
      <w:r>
        <w:t>Dreigliedrige Längsschnittstudie (mixed-methods) zu Effekten von Rock-n-Roll-Tanzsport (Jive, Cha-Cha) auf Selbstwirksamkeit, Angst (GAD-7) und Herzratenvariabilität über 6 Monate bei 152 chinesischen Studierenden (n=131 bei T3), mit Interviews und Beobachtung.</w:t>
      </w:r>
    </w:p>
    <w:p>
      <w:r>
        <w:rPr>
          <w:b/>
        </w:rPr>
        <w:t xml:space="preserve">Ergebnis: </w:t>
      </w:r>
      <w:r>
        <w:t>Hochfrequente Teilnehmer (≥3 Sitzungen/Woche) vs. Niedrigfrequente (1-2 Sitzungen/Woche) zeigten signifikante Haupteffekte: höhere Gesamtselbstwirksamkeit (β=3,60, p&lt;0,001), höhere soziale Selbstwirksamkeit (β=8,62, p&lt;0,001), niedrigere GAD-7 (β=-2,80, p&lt;0,001), höhere HRV (β=7,64 ms, p&lt;0,001). Zeit×Frequenz-Interaktionen zeigten größere Verbesserungen bei Hochfrequenten über 6 Monate in sozialer Selbstwirksamkeit (T2: β=2,40, p=0,001; T3: β=2,37, p=0,001) und HRV (T3: β=3,10, p=0,004). Qualitative Themen: rhythmische Synchronisation als affektiver Katalysator, verkörperte Meisterschaft, synchronisierte Partnerschaft, Sinnbildung.</w:t>
      </w:r>
    </w:p>
    <w:p>
      <w:r>
        <w:rPr>
          <w:b/>
          <w:sz w:val="19"/>
        </w:rPr>
        <w:t xml:space="preserve">Übertragbarkeit: </w:t>
      </w:r>
      <w:r>
        <w:rPr>
          <w:sz w:val="19"/>
        </w:rPr>
        <w:t>China, aber strukturierte, kunstbasierte körperliche Aktivitäten könnten in Deutschland als niedrigschwelliges, nicht-stigmatisierendes Angebot für Studierende modelliert werden.</w:t>
      </w:r>
    </w:p>
    <w:p>
      <w:r>
        <w:rPr>
          <w:color w:val="5A7D3A"/>
          <w:sz w:val="18"/>
        </w:rPr>
        <w:t>https://pubmed.ncbi.nlm.nih.gov/42890720/</w:t>
      </w:r>
    </w:p>
    <w:p>
      <w:pPr>
        <w:pStyle w:val="Heading2"/>
      </w:pPr>
      <w:r>
        <w:t>Donoren-Empfänger-Beziehung beeinflusst psychische Gesundheit lebender Nierenspendern nicht, aber Pflegelast und Verantwortung sehr</w:t>
      </w:r>
    </w:p>
    <w:p>
      <w:r>
        <w:rPr>
          <w:i/>
          <w:color w:val="666666"/>
          <w:sz w:val="18"/>
        </w:rPr>
        <w:t>Papachristou C et al.  ·  Transpl Int  ·  02.09.2026  ·  PMID 42751546</w:t>
      </w:r>
    </w:p>
    <w:p>
      <w:r>
        <w:t>Europäische Zweizentrum-Studie an 713 lebenden Nierenspendern (Berlin und Barcelona) zu Lebensqualität und psychologischen Ergebnissen (Angst, Depression, Somatisierung) in Beziehung zu Donoren-Empfänger-Relation, Pflegerolle, Pflegelast und wahrgenommener Verantwortung.</w:t>
      </w:r>
    </w:p>
    <w:p>
      <w:r>
        <w:rPr>
          <w:b/>
        </w:rPr>
        <w:t xml:space="preserve">Ergebnis: </w:t>
      </w:r>
      <w:r>
        <w:t>Nach Adjustierung für Geschlecht, Alter, Zentrum und Zeit seit Spende: Beziehungstyp nicht mit körperlichem Wohlbefinden assoziiert, aber mit psychischem Wohlbefinden (Ehegatten-Spender hatten niedrigeres psychisches Wohlbefinden als genetisch verwandte Spender). Pflegerolle: niedrigeres psychisches Wohlbefinden und erhöhte Angst; Pflegelast: höhere Somatisierung; wahrgenommene Verantwortung für Empfängergesundheit: höhere Depression. Unterschiede zwischen Zentren reflektieren kulturelle und organisatorische Charakteristiken.</w:t>
      </w:r>
    </w:p>
    <w:p>
      <w:r>
        <w:rPr>
          <w:b/>
          <w:sz w:val="19"/>
        </w:rPr>
        <w:t xml:space="preserve">Übertragbarkeit: </w:t>
      </w:r>
      <w:r>
        <w:rPr>
          <w:sz w:val="19"/>
        </w:rPr>
        <w:t>Deutschland/DACH: Vergleichbares Transplantationssystem, ähnliche ethische Rahmenbedingungen.</w:t>
      </w:r>
    </w:p>
    <w:p>
      <w:r>
        <w:rPr>
          <w:color w:val="5A7D3A"/>
          <w:sz w:val="18"/>
        </w:rPr>
        <w:t>https://pubmed.ncbi.nlm.nih.gov/42751546/</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