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Psychische Gesundheit</w:t>
      </w:r>
    </w:p>
    <w:p>
      <w:r>
        <w:rPr>
          <w:i/>
          <w:color w:val="666666"/>
          <w:sz w:val="18"/>
        </w:rPr>
        <w:t>Stand: 06.09.2026  |  7 Studien  |  mental.m-vf.de</w:t>
      </w:r>
    </w:p>
    <w:p>
      <w:pPr>
        <w:pStyle w:val="Heading1"/>
      </w:pPr>
      <w:r>
        <w:t>Aufgenommen am 06.09.2026</w:t>
      </w:r>
    </w:p>
    <w:p>
      <w:pPr>
        <w:pStyle w:val="Heading2"/>
      </w:pPr>
      <w:r>
        <w:t>Strukturierte Schulinterventionen reduzierten Angst und Depression ähnlich wie spezialisiertes Protokoll</w:t>
      </w:r>
    </w:p>
    <w:p>
      <w:r>
        <w:rPr>
          <w:i/>
          <w:color w:val="666666"/>
          <w:sz w:val="18"/>
        </w:rPr>
        <w:t>Fonseca-Pedrero E et al.  ·  Psychol Med  ·  04.09.2026  ·  PMID 42695201</w:t>
      </w:r>
    </w:p>
    <w:p>
      <w:r>
        <w:t>Randomisierte Studie mit 676 Schülern (12–18 Jahre, 72,6% weiblich) zum Vergleich des Unified Protocol for Adolescents mit progressiver Muskelentspannung bei subklinischen Symptomen.</w:t>
      </w:r>
    </w:p>
    <w:p>
      <w:r>
        <w:rPr>
          <w:b/>
        </w:rPr>
        <w:t xml:space="preserve">Ergebnis: </w:t>
      </w:r>
      <w:r>
        <w:t>Beide Gruppen zeigten signifikante Reduktion depressiver (Cohen's d–Effekte) und Angststörungen ohne signifikante Unterschiede. Nach 12 Monaten UP-A-Gruppe marginal niedrigere Depression. Adhärenz circa 78% (&gt;70% Sitzungen besucht).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Frankreich, vergleichbare europäische Schulstruktur und Versorgungsauftrag der Gesundheit.</w:t>
      </w:r>
    </w:p>
    <w:p>
      <w:r>
        <w:rPr>
          <w:color w:val="5A7D3A"/>
          <w:sz w:val="18"/>
        </w:rPr>
        <w:t>https://pubmed.ncbi.nlm.nih.gov/42695201/</w:t>
      </w:r>
    </w:p>
    <w:p>
      <w:pPr>
        <w:pStyle w:val="Heading2"/>
      </w:pPr>
      <w:r>
        <w:t>Sexuelle Minoritäten zeigen niedrigere Hilfesuche trotz höherer Barrieren</w:t>
      </w:r>
    </w:p>
    <w:p>
      <w:r>
        <w:rPr>
          <w:i/>
          <w:color w:val="666666"/>
          <w:sz w:val="18"/>
        </w:rPr>
        <w:t>Gewirtz-Meydan A et al.  ·  Isr J Health Policy Res  ·  04.09.2026  ·  PMID 42693470</w:t>
      </w:r>
    </w:p>
    <w:p>
      <w:r>
        <w:t>Querschnittsbefragung von 1.129 israelischen Jugendlichen (30% sexuelle Minderheiten) zu mentaler Gesundheit, Substanzkonsum und Zugangsbarrieren mittels Latent Profile Analysis.</w:t>
      </w:r>
    </w:p>
    <w:p>
      <w:r>
        <w:rPr>
          <w:b/>
        </w:rPr>
        <w:t xml:space="preserve">Ergebnis: </w:t>
      </w:r>
      <w:r>
        <w:t>Vier mentale Gesundheitsprofile identifiziert; sexuelle Minderheiten berichteten signifikant mehr Barrieren und niedrigere Hilfesuche-Absicht (moderierende Effekte). Drei Barriere-Dimensionen: Identität, Struktur, emotionale Faktoren.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Israel, ähnlich wie Deutschland strukturelle und identitätsbezogene Zugangsungleichheiten bei Jugendlichen.</w:t>
      </w:r>
    </w:p>
    <w:p>
      <w:r>
        <w:rPr>
          <w:color w:val="5A7D3A"/>
          <w:sz w:val="18"/>
        </w:rPr>
        <w:t>https://pubmed.ncbi.nlm.nih.gov/42693470/</w:t>
      </w:r>
    </w:p>
    <w:p>
      <w:pPr>
        <w:pStyle w:val="Heading2"/>
      </w:pPr>
      <w:r>
        <w:t>SMILE-Serious-Game für Jugendliche: Machbarkeit und vorläufige Wirksamkeit europaweit</w:t>
      </w:r>
    </w:p>
    <w:p>
      <w:r>
        <w:rPr>
          <w:i/>
          <w:color w:val="666666"/>
          <w:sz w:val="18"/>
        </w:rPr>
        <w:t>Smoktunowicz E et al.  ·  JMIR Res Protoc  ·  03.09.2026  ·  PMID 42691342</w:t>
      </w:r>
    </w:p>
    <w:p>
      <w:r>
        <w:t>Cluster-randomisierte adaptive Studie (7 europäische Länder, N=1.438, 10–24 Jahre) zu CBT-basiertem Gamified Mental Health Intervention mit Experience Sampling und optionaler Rückmeldung.</w:t>
      </w:r>
    </w:p>
    <w:p>
      <w:r>
        <w:rPr>
          <w:b/>
        </w:rPr>
        <w:t xml:space="preserve">Ergebnis: </w:t>
      </w:r>
      <w:r>
        <w:t>Hauptoutcomes Angst und Depression; sekundär Resilienz, Emotionsregulation. Bislang 2 Sequenzen abgeschlossen (März 2026); Rekrutierung läuft. Primäre Ergebnisse September 2026 erwartet. Feasibility, Akzeptanz und App-Nutzung werden gemessen.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Sieben europäische Länder einschließlich Deutschland, direkt transferierbar auf dezentrale digitale Prävention.</w:t>
      </w:r>
    </w:p>
    <w:p>
      <w:r>
        <w:rPr>
          <w:color w:val="5A7D3A"/>
          <w:sz w:val="18"/>
        </w:rPr>
        <w:t>https://pubmed.ncbi.nlm.nih.gov/42691342/</w:t>
      </w:r>
    </w:p>
    <w:p>
      <w:pPr>
        <w:pStyle w:val="Heading2"/>
      </w:pPr>
      <w:r>
        <w:t>Contingency management verdoppelte Aufnahmequote bei Suchtbehandlung von Gerichtsklienten</w:t>
      </w:r>
    </w:p>
    <w:p>
      <w:r>
        <w:rPr>
          <w:i/>
          <w:color w:val="666666"/>
          <w:sz w:val="18"/>
        </w:rPr>
        <w:t>Hartzler B et al.  ·  Front Public Health  ·  19.08.2026  ·  PMID 42688237</w:t>
      </w:r>
    </w:p>
    <w:p>
      <w:r>
        <w:t>Implementierungsstudie zur Anwendung von Contingency Management in einer Suchtbehandlungsorganisation für von Justiz überweisene Klienten mit Fachbegleitung und Training.</w:t>
      </w:r>
    </w:p>
    <w:p>
      <w:r>
        <w:rPr>
          <w:b/>
        </w:rPr>
        <w:t xml:space="preserve">Ergebnis: </w:t>
      </w:r>
      <w:r>
        <w:t>Aufnahmequoten stiegen um 108%, Gruppentherapie-Teilnahme um 11%, Erfüllung gerichtlicher Auflagen um 11%. Die Organization integrierte Contingency Management dauerhaft in Routineangebote.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Vergleichbarkeit gering – Finanzierung und Justizsystem unterscheiden sich grundlegend.</w:t>
      </w:r>
    </w:p>
    <w:p>
      <w:r>
        <w:rPr>
          <w:color w:val="5A7D3A"/>
          <w:sz w:val="18"/>
        </w:rPr>
        <w:t>https://pubmed.ncbi.nlm.nih.gov/42688237/</w:t>
      </w:r>
    </w:p>
    <w:p>
      <w:pPr>
        <w:pStyle w:val="Heading2"/>
      </w:pPr>
      <w:r>
        <w:t>Diagnostische Wartezeiten für Kinder erreichen 15 Monate – Perspektiven von Stakeholdern</w:t>
      </w:r>
    </w:p>
    <w:p>
      <w:r>
        <w:rPr>
          <w:i/>
          <w:color w:val="666666"/>
          <w:sz w:val="18"/>
        </w:rPr>
        <w:t>Grundy S et al.  ·  Child Care Health Dev  ·  Sept. 2026  ·  PMID 42687475</w:t>
      </w:r>
    </w:p>
    <w:p>
      <w:r>
        <w:t>Qualitative Studie zu Verzögerungen in Entwicklungsdiagnostik in Westaustralien mit Interviews von Eltern (n=17), Pädagogen (n=10) und Fachleuten (n=9).</w:t>
      </w:r>
    </w:p>
    <w:p>
      <w:r>
        <w:rPr>
          <w:b/>
        </w:rPr>
        <w:t xml:space="preserve">Ergebnis: </w:t>
      </w:r>
      <w:r>
        <w:t>Über 17.000 Kinder in Warteschlangen, Medianwartezeit 15,1 Monate. Hauptbarrieren: unzureichende Finanzierung (22 Nennungen), lange Wartezeiten (44), fehlende Unterstützung (110). Stakeholder forderten bessere Koordination und Kapazität.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Australien, vergleichbare Wartzeitprobleme und Personalknappheit wie deutsche Versorgung; strukturelles Problem.</w:t>
      </w:r>
    </w:p>
    <w:p>
      <w:r>
        <w:rPr>
          <w:color w:val="5A7D3A"/>
          <w:sz w:val="18"/>
        </w:rPr>
        <w:t>https://pubmed.ncbi.nlm.nih.gov/42687475/</w:t>
      </w:r>
    </w:p>
    <w:p>
      <w:pPr>
        <w:pStyle w:val="Heading2"/>
      </w:pPr>
      <w:r>
        <w:t>Lokale Räte für psychische Gesundheit (CLSM): Governance-Lücke trotz 30 Jahren Existenz</w:t>
      </w:r>
    </w:p>
    <w:p>
      <w:r>
        <w:rPr>
          <w:i/>
          <w:color w:val="666666"/>
          <w:sz w:val="18"/>
        </w:rPr>
        <w:t>Pastant F et al.  ·  Sante Publique  ·  2026  ·  PMID 42674980</w:t>
      </w:r>
    </w:p>
    <w:p>
      <w:r>
        <w:t>Bestandsaufnahme und Positionspapier zu CLSM in Frankreich als Governance-Modell der Bürger- und Sektorbeteiligung in der Gesamtplanung mentaler Gesundheit.</w:t>
      </w:r>
    </w:p>
    <w:p>
      <w:r>
        <w:rPr>
          <w:b/>
        </w:rPr>
        <w:t xml:space="preserve">Ergebnis: </w:t>
      </w:r>
      <w:r>
        <w:t>CLSM in etwa 300 französischen Territorien verankert (2025), aber Einsatz ungleich, Mittel unzureichend, Stakeholder-Beteiligung schwach. Kernaussage: CLSM sind nicht nur Koordinationsmechanismus, sondern demokratisches Politikmodell – erfordern institutionelle und kulturelle Bedingungen zur Skalierung.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deutschsprachiger Raum – vergleichbare soziale Versicherungssysteme; CLSM-Modell zur Territorialisierung und Partizipation direkt übertragbar.</w:t>
      </w:r>
    </w:p>
    <w:p>
      <w:r>
        <w:rPr>
          <w:color w:val="5A7D3A"/>
          <w:sz w:val="18"/>
        </w:rPr>
        <w:t>https://pubmed.ncbi.nlm.nih.gov/42674980/</w:t>
      </w:r>
    </w:p>
    <w:p>
      <w:pPr>
        <w:pStyle w:val="Heading2"/>
      </w:pPr>
      <w:r>
        <w:t>Erhebung mentaler Gesundheit mit digitalem Triage an fünf italienischen Universitäten</w:t>
      </w:r>
    </w:p>
    <w:p>
      <w:r>
        <w:rPr>
          <w:i/>
          <w:color w:val="666666"/>
          <w:sz w:val="18"/>
        </w:rPr>
        <w:t>Vigezzi GP et al.  ·  Front Public Health  ·  21.07.2026  ·  PMID 42553706</w:t>
      </w:r>
    </w:p>
    <w:p>
      <w:r>
        <w:t>Multisite Protokoll (Health Mode On Plus) zur Querschnittserhebung und Intervention mentaler Gesundheit bei italienischen Studierenden mit Stepped-Care-Modell und e-CBT für Angst.</w:t>
      </w:r>
    </w:p>
    <w:p>
      <w:r>
        <w:rPr>
          <w:b/>
        </w:rPr>
        <w:t xml:space="preserve">Ergebnis: </w:t>
      </w:r>
      <w:r>
        <w:t>Geplant: 249.958 Teilnehmer; primäre Outcomes 12-Monats- und Lifetime-DSM-5-Störungen via CIDI; digitale CBT versus Beratung-as-usual in eingebetteter RCT. Starke digitale Plattform für Triage und Orientierung implementiert; erste Analysen folgen.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deutschsprachiger Raum – vergleichbares Hochschulsystem und Präventionsauftrag, Stepped-Care-Rahmen übertragbar.</w:t>
      </w:r>
    </w:p>
    <w:p>
      <w:r>
        <w:rPr>
          <w:color w:val="5A7D3A"/>
          <w:sz w:val="18"/>
        </w:rPr>
        <w:t>https://pubmed.ncbi.nlm.nih.gov/42553706/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Psychische Gesundheit</dc:title>
  <dc:subject/>
  <dc:creator>Monitor Versorgungsforschung</dc:creator>
  <cp:keywords/>
  <dc:description>generated by python-docx</dc:description>
  <cp:lastModifiedBy/>
  <cp:revision>1</cp:revision>
  <dcterms:created xsi:type="dcterms:W3CDTF">2026-09-06T06:00:00Z</dcterms:created>
  <dcterms:modified xsi:type="dcterms:W3CDTF">2026-09-06T06:00:00Z</dcterms:modified>
  <cp:category/>
</cp:coreProperties>
</file>