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21.10.2026  |  6 Studien  |  mental.m-vf.de</w:t>
      </w:r>
    </w:p>
    <w:p>
      <w:pPr>
        <w:pStyle w:val="Heading1"/>
      </w:pPr>
      <w:r>
        <w:t>Aufgenommen am 21.10.2026</w:t>
      </w:r>
    </w:p>
    <w:p>
      <w:pPr>
        <w:pStyle w:val="Heading2"/>
      </w:pPr>
      <w:r>
        <w:t>Online Achtsamkeitstraining senkt Rückfallrisiko bei perinataler Depression um 26 Prozent</w:t>
      </w:r>
    </w:p>
    <w:p>
      <w:r>
        <w:rPr>
          <w:i/>
          <w:color w:val="666666"/>
          <w:sz w:val="18"/>
        </w:rPr>
        <w:t>Dimidjian S et al.  ·  Lancet Public Health  ·  Nov. 2026  ·  PMID 42901187</w:t>
      </w:r>
    </w:p>
    <w:p>
      <w:r>
        <w:t>Randomisierte US-Studie mit 500 schwangeren Frauen mit rezidivierender Depression: Eine webbasierte Achtsamkeits-Kognitiv-Therapie (Mindful Mood Balance) plus reguläre Versorgung versus reguläre Versorgung allein, Nachverfolgung bis 6 Monate postpartal.</w:t>
      </w:r>
    </w:p>
    <w:p>
      <w:r>
        <w:rPr>
          <w:b/>
        </w:rPr>
        <w:t xml:space="preserve">Ergebnis: </w:t>
      </w:r>
      <w:r>
        <w:t>33 Prozent (81/249) der Mindful-Mood-Balance-Gruppe erlebten einen depressiven Rückfall gegenüber 44 Prozent (111/251) der Vergleichsgruppe (Hazard Ratio 0,74; 95%-CI 0,56-0,99; p=0,045). Symptomreduktion während der 12-Wochen-Interventionsphase stärker in der Interventionsgruppe (Abnahme 0,75 versus 0,31 auf der Symptomskala).</w:t>
      </w:r>
    </w:p>
    <w:p>
      <w:r>
        <w:rPr>
          <w:b/>
          <w:sz w:val="19"/>
        </w:rPr>
        <w:t xml:space="preserve">Übertragbarkeit: </w:t>
      </w:r>
      <w:r>
        <w:rPr>
          <w:sz w:val="19"/>
        </w:rPr>
        <w:t>USA mit anderer Finanzierung, aber Gestaltungsprinzipien (asynchron + synchron) übertragbar auf deutsches Versorgungssystem.</w:t>
      </w:r>
    </w:p>
    <w:p>
      <w:r>
        <w:rPr>
          <w:color w:val="5A7D3A"/>
          <w:sz w:val="18"/>
        </w:rPr>
        <w:t>https://pubmed.ncbi.nlm.nih.gov/42901187/</w:t>
      </w:r>
    </w:p>
    <w:p>
      <w:pPr>
        <w:pStyle w:val="Heading2"/>
      </w:pPr>
      <w:r>
        <w:t>Sexualität bei Menschen mit Behinderung bleibt Tabuthema – Mitarbeitende vermeiden Gespräche aus Unbehagen</w:t>
      </w:r>
    </w:p>
    <w:p>
      <w:r>
        <w:rPr>
          <w:i/>
          <w:color w:val="666666"/>
          <w:sz w:val="18"/>
        </w:rPr>
        <w:t>Webb N et al.  ·  J Appl Res Intellect Disabil  ·  Sept. 2026  ·  PMID 42899364</w:t>
      </w:r>
    </w:p>
    <w:p>
      <w:r>
        <w:t>Systematischer Review von 23 qualitativ-empirischen Studien (Suchzeitraum Januar 2006 bis August 2025) zu Gesprächen zwischen Fachpersonen und erwachsenen Menschen mit intellektueller Behinderung über Sexualität und Beziehungen; Analyse von 75 dokumentierten oder hypothetischen sexualitätsbezogenen Gesprächssituationen.</w:t>
      </w:r>
    </w:p>
    <w:p>
      <w:r>
        <w:rPr>
          <w:b/>
        </w:rPr>
        <w:t xml:space="preserve">Ergebnis: </w:t>
      </w:r>
      <w:r>
        <w:t>Von 75 Gesprächen waren 42 real (39 fanden statt, 3 wurden aktiv vermieden) und 33 hypothetisch. Gesprächsförderer: vertrauensvolle Beziehungen, unterstützende Organisationsstrukturen, zielgerichtete Schulung. Barrieren: Angst, Stigma, Rollenunsicherheit, risikoaverse Organisationskulturen. Spannung zwischen anerkannten Sexualrechten und risikoorientierter Praxis erkannt. Empfehlung: Schulung, Rollenklerheit, rechtebasierte Richtlinien erforderlich.</w:t>
      </w:r>
    </w:p>
    <w:p>
      <w:r>
        <w:rPr>
          <w:b/>
          <w:sz w:val="19"/>
        </w:rPr>
        <w:t xml:space="preserve">Übertragbarkeit: </w:t>
      </w:r>
      <w:r>
        <w:rPr>
          <w:sz w:val="19"/>
        </w:rPr>
        <w:t>Irland – deutsches System hat ähnliche Barrieren (Betreutes Wohnen, Werkstätten), Befund zur Stigmatisierung zentral für Versorgungspraxis mit Behinderung.</w:t>
      </w:r>
    </w:p>
    <w:p>
      <w:r>
        <w:rPr>
          <w:color w:val="5A7D3A"/>
          <w:sz w:val="18"/>
        </w:rPr>
        <w:t>https://pubmed.ncbi.nlm.nih.gov/42899364/</w:t>
      </w:r>
    </w:p>
    <w:p>
      <w:pPr>
        <w:pStyle w:val="Heading2"/>
      </w:pPr>
      <w:r>
        <w:t>Patientenwünsche in stationärer Psychiatrie enthüllen unerkannte Barrieren für Recovery-orientierte Praxis</w:t>
      </w:r>
    </w:p>
    <w:p>
      <w:r>
        <w:rPr>
          <w:i/>
          <w:color w:val="666666"/>
          <w:sz w:val="18"/>
        </w:rPr>
        <w:t>Hybholt L et al.  ·  Int J Ment Health Nurs  ·  Okt. 2026  ·  PMID 42899357</w:t>
      </w:r>
    </w:p>
    <w:p>
      <w:r>
        <w:t>Beobachtungsstudie von 14 aufeinanderfolgenden ‚Wishing-Well'-Meetings über 7 Monate in einer akuten psychiatrischen Station: Analyse von 100 Patientenwünschen zur Verbesserung des Stationsalltags und Interaktionen zwischen Patienten und Personal.</w:t>
      </w:r>
    </w:p>
    <w:p>
      <w:r>
        <w:rPr>
          <w:b/>
        </w:rPr>
        <w:t xml:space="preserve">Ergebnis: </w:t>
      </w:r>
      <w:r>
        <w:t>100 Wünsche erfasst: 53 Prozent betrafen Wohnumgebung, 20 Prozent Personalverhalten, 8 Prozent Regelwerk, 6 Prozent Patientengemeinschaft, 6 Prozent Patientenmerkmale, 5 Prozent außerhospitale Faktoren, 2 Prozent unklar kategorisierbar. Wünsche zum Personalteam offenbarten Routinen, die Autonomie und Partizipation einschränkten; Diskussion führte zu Praxisveränderungen und besserer Ausrichtung auf Recovery-Werte.</w:t>
      </w:r>
    </w:p>
    <w:p>
      <w:r>
        <w:rPr>
          <w:b/>
          <w:sz w:val="19"/>
        </w:rPr>
        <w:t xml:space="preserve">Übertragbarkeit: </w:t>
      </w:r>
      <w:r>
        <w:rPr>
          <w:sz w:val="19"/>
        </w:rPr>
        <w:t>Dänemark, psychisch-sozialmedizinische Organisationskultur ähnlich Deutschland – Befund zu Schnittstelle zwischen Zwangsstrukturen und Autonomie relevant.</w:t>
      </w:r>
    </w:p>
    <w:p>
      <w:r>
        <w:rPr>
          <w:color w:val="5A7D3A"/>
          <w:sz w:val="18"/>
        </w:rPr>
        <w:t>https://pubmed.ncbi.nlm.nih.gov/42899357/</w:t>
      </w:r>
    </w:p>
    <w:p>
      <w:pPr>
        <w:pStyle w:val="Heading2"/>
      </w:pPr>
      <w:r>
        <w:t>Energiearmut beeinträchtigt psychisches Wohlbefinden durch Angst, Schlafstörung und Kontrollverlust</w:t>
      </w:r>
    </w:p>
    <w:p>
      <w:r>
        <w:rPr>
          <w:i/>
          <w:color w:val="666666"/>
          <w:sz w:val="18"/>
        </w:rPr>
        <w:t>Ambrosio-Albala P et al.  ·  BMC Public Health  ·  24.07.2026  ·  PMID 42897544</w:t>
      </w:r>
    </w:p>
    <w:p>
      <w:r>
        <w:t>Qualitative Studie mit 36 Personen in energiearmem Wohnzustand in Leeds, Heerlen und Valencia: Semistrukturierte Interviews zu den Verbindungen zwischen Energiearmut und Wohlbefinden, analysiert mit thematischer Analyse anhand des Konzeptiven Rahmens für Public Mental Health.</w:t>
      </w:r>
    </w:p>
    <w:p>
      <w:r>
        <w:rPr>
          <w:b/>
        </w:rPr>
        <w:t xml:space="preserve">Ergebnis: </w:t>
      </w:r>
      <w:r>
        <w:t>Konsistente Befunde über alle drei Städte hinweg: Teilnehmer beschrieben anhaltende Angst und Sorge um Energiekosten, thermische Unbehaglichkeit, beeinträchtigte Stimmung und Schlaf, reduzierte Kontrolle über Lebensbedingungen sowie Belastung von Beziehungen und sozialen Interaktionen. Erfahrungen mit Behörden wirkten sich auf Wohlbefinden aus – Gefühl von Anerkennung oder Übersehen war zentral. Pathways mental-health-relevant trotz unterschiedlicher Kontexte ähnlich.</w:t>
      </w:r>
    </w:p>
    <w:p>
      <w:r>
        <w:rPr>
          <w:b/>
          <w:sz w:val="19"/>
        </w:rPr>
        <w:t xml:space="preserve">Übertragbarkeit: </w:t>
      </w:r>
      <w:r>
        <w:rPr>
          <w:sz w:val="19"/>
        </w:rPr>
        <w:t>Großbritannien, Niederlande, Spanien – europäische Befunde, mehrebenenintervention gefordert, teilweise übertragbar auf deutsche Versorgungskontexte mit Wärmekostenfragen.</w:t>
      </w:r>
    </w:p>
    <w:p>
      <w:r>
        <w:rPr>
          <w:color w:val="5A7D3A"/>
          <w:sz w:val="18"/>
        </w:rPr>
        <w:t>https://pubmed.ncbi.nlm.nih.gov/42897544/</w:t>
      </w:r>
    </w:p>
    <w:p>
      <w:pPr>
        <w:pStyle w:val="Heading2"/>
      </w:pPr>
      <w:r>
        <w:t>Familienunterstützung fördert psychisches Wohlbefinden von armen Jugendlichen über Selbstwirksamkeit</w:t>
      </w:r>
    </w:p>
    <w:p>
      <w:r>
        <w:rPr>
          <w:i/>
          <w:color w:val="666666"/>
          <w:sz w:val="18"/>
        </w:rPr>
        <w:t>Chang CW et al.  ·  BMC Public Health  ·  24.07.2026  ·  PMID 42897510</w:t>
      </w:r>
    </w:p>
    <w:p>
      <w:r>
        <w:t>Längsschnittanalyse mit 1.792 wirtschaftlich benachteiligten Jugendlichen und jungen Erwachsenen in Taiwan über zwei Zeitpunkte: Prüfung der mediierenden Rolle von Selbstwirksamkeit in der Beziehung zwischen Familienunterstützung und psychischer Gesundheit (Lebenszufriedenheit und psychische Belastung gemessen).</w:t>
      </w:r>
    </w:p>
    <w:p>
      <w:r>
        <w:rPr>
          <w:b/>
        </w:rPr>
        <w:t xml:space="preserve">Ergebnis: </w:t>
      </w:r>
      <w:r>
        <w:t>Familienunterstützung zu T1 war positiv assoziiert mit Selbstwirksamkeit und Lebenszufriedenheit zu T2, aber nicht mit psychischer Belastung. Selbstwirksamkeit zu T1 war signifikant mit Lebenszufriedenheit zu T2 verbunden, aber nicht mit psychischer Belastung. Mediationsanalyse bestätigte, dass Selbstwirksamkeit die Beziehung zwischen Familienunterstützung und positiver psychischer Gesundheit mediiert. Befund zeigt Unterschied zwischen Ansätzen für positive und negative Aspekte psychischer Gesundheit.</w:t>
      </w:r>
    </w:p>
    <w:p>
      <w:r>
        <w:rPr>
          <w:b/>
          <w:sz w:val="19"/>
        </w:rPr>
        <w:t xml:space="preserve">Übertragbarkeit: </w:t>
      </w:r>
      <w:r>
        <w:rPr>
          <w:sz w:val="19"/>
        </w:rPr>
        <w:t>Taiwan – System der Eingliederungshilfe für Jugendliche verschieden, aber Befund zu Schutzfaktoren (Familie, Selbstwirksamkeit) übertragbar.</w:t>
      </w:r>
    </w:p>
    <w:p>
      <w:r>
        <w:rPr>
          <w:color w:val="5A7D3A"/>
          <w:sz w:val="18"/>
        </w:rPr>
        <w:t>https://pubmed.ncbi.nlm.nih.gov/42897510/</w:t>
      </w:r>
    </w:p>
    <w:p>
      <w:pPr>
        <w:pStyle w:val="Heading2"/>
      </w:pPr>
      <w:r>
        <w:t>Diskriminierung am Arbeitsplatz verdoppelt Risiko für suizidale Gedanken</w:t>
      </w:r>
    </w:p>
    <w:p>
      <w:r>
        <w:rPr>
          <w:i/>
          <w:color w:val="666666"/>
          <w:sz w:val="18"/>
        </w:rPr>
        <w:t>Weinmann T et al.  ·  Soc Sci Med  ·  22.09.2026  ·  PMID 42777310</w:t>
      </w:r>
    </w:p>
    <w:p>
      <w:r>
        <w:t>Querschnittstudie von 2594 Arbeitnehmern in Luxemburg (Durchschnittsalter 42,3 Jahre): Erfassung von Diskriminierungserfahrungen (nach Geschlecht, Alter, Ethnizität, Religion, Behinderung, sexueller Orientierung) und psychische Gesundheit gemessen mit WHO-5-Index und suizidale Gedanken im vergangenen Jahr.</w:t>
      </w:r>
    </w:p>
    <w:p>
      <w:r>
        <w:rPr>
          <w:b/>
        </w:rPr>
        <w:t xml:space="preserve">Ergebnis: </w:t>
      </w:r>
      <w:r>
        <w:t>Wöchentliche oder tägliche Diskriminierung war assoziiert mit erhöhten Chancen für schlechte psychische Gesundheit (OR 1,73; 95%-CI 1,04-2,90) und suizidale Gedanken (OR 2,38; 95%-CI 1,21-4,71). Exposition gegenüber drei oder mehr Diskriminierungstypen zeigte ähnliche Effekte (suizidale Gedanken: OR 2,33; 95%-CI 1,17-4,64). Dosisabhängige Beziehung erkannt.</w:t>
      </w:r>
    </w:p>
    <w:p>
      <w:r>
        <w:rPr>
          <w:b/>
          <w:sz w:val="19"/>
        </w:rPr>
        <w:t xml:space="preserve">Übertragbarkeit: </w:t>
      </w:r>
      <w:r>
        <w:rPr>
          <w:sz w:val="19"/>
        </w:rPr>
        <w:t>Luxemburg, vergleichbares Sozialversicherungssystem, ähnliche Arbeitsmarktbedingungen.</w:t>
      </w:r>
    </w:p>
    <w:p>
      <w:r>
        <w:rPr>
          <w:color w:val="5A7D3A"/>
          <w:sz w:val="18"/>
        </w:rPr>
        <w:t>https://pubmed.ncbi.nlm.nih.gov/42777310/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