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13.10.2026  |  6 Studien  |  mental.m-vf.de</w:t>
      </w:r>
    </w:p>
    <w:p>
      <w:pPr>
        <w:pStyle w:val="Heading1"/>
      </w:pPr>
      <w:r>
        <w:t>Aufgenommen am 13.10.2026</w:t>
      </w:r>
    </w:p>
    <w:p>
      <w:pPr>
        <w:pStyle w:val="Heading2"/>
      </w:pPr>
      <w:r>
        <w:t>Mütterliche psychische Erkrankung erhöht Lueseskrankheit bei Neugeborenen um 50 %</w:t>
      </w:r>
    </w:p>
    <w:p>
      <w:r>
        <w:rPr>
          <w:i/>
          <w:color w:val="666666"/>
          <w:sz w:val="18"/>
        </w:rPr>
        <w:t>Onwubiko UN et al.  ·  Sex Transm Dis  ·  01.11.2026  ·  PMID 42861562</w:t>
      </w:r>
    </w:p>
    <w:p>
      <w:r>
        <w:t>Analyse von 1.684 Schwangerschaften mit diagnostizierter Syphilis aus Georgia-Überwachungsdaten zur Assoziation pränataler psychischer Belastung mit Konnataler Syphilis.</w:t>
      </w:r>
    </w:p>
    <w:p>
      <w:r>
        <w:rPr>
          <w:b/>
        </w:rPr>
        <w:t xml:space="preserve">Ergebnis: </w:t>
      </w:r>
      <w:r>
        <w:t>Unter 1.684 syphilisbetroffenen Schwangerschaften traten 416 Fälle (25 %) konnataler Syphilis auf. Dokumentierte psychische Belastung prä partum war mit höherer CS-Prävalenz assoziiert (adj. PR 1,5; 95%-KI 1,1–2,1). Effekt gedämpft bei Frauen mit familiärer Unterstützung. Bias-adjustierte Analyse deutet auf stärkere Assoziation (PR 2,1; 95%-Sim.Int. 0,8–5,0).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Konzept der mental-health-informed STI-Surveillance auf deutsche Kontexte übertragbar</w:t>
      </w:r>
    </w:p>
    <w:p>
      <w:r>
        <w:rPr>
          <w:color w:val="5A7D3A"/>
          <w:sz w:val="18"/>
        </w:rPr>
        <w:t>https://pubmed.ncbi.nlm.nih.gov/42861562/</w:t>
      </w:r>
    </w:p>
    <w:p>
      <w:pPr>
        <w:pStyle w:val="Heading2"/>
      </w:pPr>
      <w:r>
        <w:t>Neuropsychische Nebenwirkungen trüben Therapieerfolg bei Mukoviszidose-Behandlung</w:t>
      </w:r>
    </w:p>
    <w:p>
      <w:r>
        <w:rPr>
          <w:i/>
          <w:color w:val="666666"/>
          <w:sz w:val="18"/>
        </w:rPr>
        <w:t>Terlizzi V et al.  ·  Pulmonology  ·  12.10.2026  ·  PMID 42861492</w:t>
      </w:r>
    </w:p>
    <w:p>
      <w:r>
        <w:t>Längsschnittstudie an 33 Mukoviszidose-Patienten mit fortgeschrittener Lungenerkrankung zur Adhärenz, Lebensqualität und psychiatrischen Nebenwirkungen nach 30 Monaten Kombinationstherapie.</w:t>
      </w:r>
    </w:p>
    <w:p>
      <w:r>
        <w:rPr>
          <w:b/>
        </w:rPr>
        <w:t xml:space="preserve">Ergebnis: </w:t>
      </w:r>
      <w:r>
        <w:t>Mittlere Adhärenz 75,6 %; ppFEV1 stieg um 19,4 %, Lebensqualität verbesserte sich signifikant in den meisten CFQ-R-Domänen. Aber: Konzentrationsstörungen 25,8 %, Schlaflosigkeit 32,3 %. Angststörungen assoziiert mit Gedächtnis- und Konzentrationsproblemen (p&lt;0,05). Umfassende Behandlung sollte psychische Gesundheit adressieren.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aber psychiatrische Versorgungsaspekte bei Multimorbidität generalisierbar</w:t>
      </w:r>
    </w:p>
    <w:p>
      <w:r>
        <w:rPr>
          <w:color w:val="5A7D3A"/>
          <w:sz w:val="18"/>
        </w:rPr>
        <w:t>https://pubmed.ncbi.nlm.nih.gov/42861492/</w:t>
      </w:r>
    </w:p>
    <w:p>
      <w:pPr>
        <w:pStyle w:val="Heading2"/>
      </w:pPr>
      <w:r>
        <w:t>Resilienz reduziert Burnout-Risiko bei beruflichen Anforderungen</w:t>
      </w:r>
    </w:p>
    <w:p>
      <w:r>
        <w:rPr>
          <w:i/>
          <w:color w:val="666666"/>
          <w:sz w:val="18"/>
        </w:rPr>
        <w:t>Sarochan NM et al.  ·  BMC Public Health  ·  08.10.2026  ·  PMID 42850615</w:t>
      </w:r>
    </w:p>
    <w:p>
      <w:r>
        <w:t>Studie an 1.470 Berufsschullehrern in Baden-Württemberg zur Frage, wie die subjektive Bewertung von Arbeitsanforderungen (als Herausforderung vs. Bedrohung) die psychische Gesundheit, Arbeitszufriedenheit und Burnout beeinflusst.</w:t>
      </w:r>
    </w:p>
    <w:p>
      <w:r>
        <w:rPr>
          <w:b/>
        </w:rPr>
        <w:t xml:space="preserve">Ergebnis: </w:t>
      </w:r>
      <w:r>
        <w:t>Challenge-Appraisal erhöhte die Arbeitszufriedenheit und senkte das Burnout-Risiko signifikant; Threat-Appraisal verschlechterte das Wohlbefinden. Resilienz führte zu höherer Challenge- und niedrigerer Threat-Appraisal (p&lt;0,05). Das Ergebnis unterstreicht die Bedeutung kognitiver Bewertungsmuster für Lehrergesundheit.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Originaldaten aus Schulsystem Baden-Württemberg</w:t>
      </w:r>
    </w:p>
    <w:p>
      <w:r>
        <w:rPr>
          <w:color w:val="5A7D3A"/>
          <w:sz w:val="18"/>
        </w:rPr>
        <w:t>https://pubmed.ncbi.nlm.nih.gov/42850615/</w:t>
      </w:r>
    </w:p>
    <w:p>
      <w:pPr>
        <w:pStyle w:val="Heading2"/>
      </w:pPr>
      <w:r>
        <w:t>Komorbidität und psychische Erkrankungen senken Lebensqualität bei CED um 36–40 %</w:t>
      </w:r>
    </w:p>
    <w:p>
      <w:r>
        <w:rPr>
          <w:i/>
          <w:color w:val="666666"/>
          <w:sz w:val="18"/>
        </w:rPr>
        <w:t>Romash I et al.  ·  Pol Merkur Lekarski  ·  2026  ·  PMID 42726830</w:t>
      </w:r>
    </w:p>
    <w:p>
      <w:r>
        <w:t>Querschnittstudie an 248 Patienten mit Morbus Crohn oder Colitis ulcerosa zur Assoziation von Komorbiditäten, psychischen Störungen und Lebensqualität gemessen mit IBDQ-Fragebogen.</w:t>
      </w:r>
    </w:p>
    <w:p>
      <w:r>
        <w:rPr>
          <w:b/>
        </w:rPr>
        <w:t xml:space="preserve">Ergebnis: </w:t>
      </w:r>
      <w:r>
        <w:t>CED-Patienten zeigten 39,9 % (Crohn) bzw. 35,9 % (Colitis) niedrigere Lebensqualität als Kontrollen (p&lt;0,001). Hohe Komorbiditätslast (73 % Crohn, 82 % Colitis). Psychische und vaskuläre Störungen waren prominent. Charlson-Index höher bei Crohn (3,14 vs. 2,93; p≤0,005). Ergebnis bekräftigt Bedarf für multidisziplinäre Versorgung.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Ukraine/Deutschland, aber Konzept der integrierten Versorgung übertragbar</w:t>
      </w:r>
    </w:p>
    <w:p>
      <w:r>
        <w:rPr>
          <w:color w:val="5A7D3A"/>
          <w:sz w:val="18"/>
        </w:rPr>
        <w:t>https://pubmed.ncbi.nlm.nih.gov/42726830/</w:t>
      </w:r>
    </w:p>
    <w:p>
      <w:pPr>
        <w:pStyle w:val="Heading2"/>
      </w:pPr>
      <w:r>
        <w:t>Ergotherapie kann Studierendenkrise bewältigen – Okanagan-Charter-Ansatz</w:t>
      </w:r>
    </w:p>
    <w:p>
      <w:r>
        <w:rPr>
          <w:i/>
          <w:color w:val="666666"/>
          <w:sz w:val="18"/>
        </w:rPr>
        <w:t>Hunt E et al.  ·  Am J Occup Ther  ·  11.07.2026  ·  PMID 42698319</w:t>
      </w:r>
    </w:p>
    <w:p>
      <w:r>
        <w:t>Policy-Perspektive zur Rolle der Ergotherapie bei der Unterstützung der psychischen Gesundheit von Studierenden an Hochschulen in Irland und den USA, gestützt auf das Okanagan Charter von 2015.</w:t>
      </w:r>
    </w:p>
    <w:p>
      <w:r>
        <w:rPr>
          <w:b/>
        </w:rPr>
        <w:t xml:space="preserve">Ergebnis: </w:t>
      </w:r>
      <w:r>
        <w:t>Die Autoren dokumentieren konkrete ergotherapeutische Interventionen auf Campussen (z. B. Occupational Engagement Programs) und zeigen, dass spezialisierte Dienste den Zugang zu präventiven Maßnahmen verbessern. Empfehlungen: Stärkere Integration ergotherapeutischer Leistungen in die Campus-Gesundheitsinfrastruktur als Antwort auf wachsende Krisen.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 und USA – Erkenntnis zur Versorgungsstrukturierung übertragbar, konkrete Modelle kontextabhängig</w:t>
      </w:r>
    </w:p>
    <w:p>
      <w:r>
        <w:rPr>
          <w:color w:val="5A7D3A"/>
          <w:sz w:val="18"/>
        </w:rPr>
        <w:t>https://pubmed.ncbi.nlm.nih.gov/42698319/</w:t>
      </w:r>
    </w:p>
    <w:p>
      <w:pPr>
        <w:pStyle w:val="Heading2"/>
      </w:pPr>
      <w:r>
        <w:t>Verkehrslärm erhöht Depressionsrisiko – Lärmschutzbarrieren reduzieren Effekt um 8–12 dB</w:t>
      </w:r>
    </w:p>
    <w:p>
      <w:r>
        <w:rPr>
          <w:i/>
          <w:color w:val="666666"/>
          <w:sz w:val="18"/>
        </w:rPr>
        <w:t>Haghbin K et al.  ·  Noise Health  ·  31.08.2026  ·  PMID 42684347</w:t>
      </w:r>
    </w:p>
    <w:p>
      <w:r>
        <w:t>Scoping Review von 74 europäischen Studien zu Langzeitfolgen von Verkehrslärm (Straße, Schiene, Luft) auf Kardiovaskuläres, Schlaf und psychische Gesundheit sowie Wirksamkeit von Lärmschutzmaßnahmen.</w:t>
      </w:r>
    </w:p>
    <w:p>
      <w:r>
        <w:rPr>
          <w:b/>
        </w:rPr>
        <w:t xml:space="preserve">Ergebnis: </w:t>
      </w:r>
      <w:r>
        <w:t>Verkehrslärm ist assoziiert mit erhöhtem Blutdruck, Schlafstörungen, kognitiver Beeinträchtigung und Angststörungen; vulnerable Gruppen (Kinder, Ältere) sind überproportional betroffen. Lärmschutzbarrieren und Begrünung reduzieren Lärm um 8–12 dB(A) bzw. 2,5–8,5 dB(A). Maßnahmen zur psychischen Gesundheit betonen Expositionsreduktion und Umweltverbesserung.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Länder, vergleichbare urbane Kontexte; auf Deutsche anwendbar für Stadtplanung</w:t>
      </w:r>
    </w:p>
    <w:p>
      <w:r>
        <w:rPr>
          <w:color w:val="5A7D3A"/>
          <w:sz w:val="18"/>
        </w:rPr>
        <w:t>https://pubmed.ncbi.nlm.nih.gov/42684347/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2026-10-13T06:00:00Z</dcterms:created>
  <dcterms:modified xsi:type="dcterms:W3CDTF">2026-10-13T06:00:00Z</dcterms:modified>
  <cp:category/>
</cp:coreProperties>
</file>