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07.09.2026  |  7 Studien  |  mental.m-vf.de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Schlafmangel in Nachtschichten beeinträchtigt kognitive Kontrolle und Übergabekommunikation</w:t>
      </w:r>
    </w:p>
    <w:p>
      <w:r>
        <w:rPr>
          <w:i/>
          <w:color w:val="666666"/>
          <w:sz w:val="18"/>
        </w:rPr>
        <w:t>Kaplan A et al.  ·  Int Nurs Rev  ·  Sept. 2026  ·  PMID 42694001</w:t>
      </w:r>
    </w:p>
    <w:p>
      <w:r>
        <w:t>Türkische Querschnittsstudie zum Zusammenhang von Müdigkeit während Nachtschichten mit kognitiver Kontrolle, kognitiver Flexibilität und Übergabe-Effektivität bei 270 Pflegekräften.</w:t>
      </w:r>
    </w:p>
    <w:p>
      <w:r>
        <w:rPr>
          <w:b/>
        </w:rPr>
        <w:t xml:space="preserve">Ergebnis: </w:t>
      </w:r>
      <w:r>
        <w:t>Mittlere Müdigkeitsscore 6,41±1,81; höhere Müdigkeit war assoziiert mit niedrigerer kognitiver Kontrolle und Flexibilität (β=−0,510, p&lt;0,001) und niedrigerer Übergabe-Effektivität (β=−0,670, p&lt;0,001); indirekte Assoziation via kognitiver Kontrolle bestand (β=−0,107, 95% CI −0,257 to −0,023).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Universitätsklinik; relevante Schichtarbeitsprobleme europäischer Kliniken.</w:t>
      </w:r>
    </w:p>
    <w:p>
      <w:r>
        <w:rPr>
          <w:color w:val="5A7D3A"/>
          <w:sz w:val="18"/>
        </w:rPr>
        <w:t>https://pubmed.ncbi.nlm.nih.gov/42694001/</w:t>
      </w:r>
    </w:p>
    <w:p>
      <w:pPr>
        <w:pStyle w:val="Heading2"/>
      </w:pPr>
      <w:r>
        <w:t>Suchtprävention in saudischen Schulen: Sportlehrer unterqualifiziert</w:t>
      </w:r>
    </w:p>
    <w:p>
      <w:r>
        <w:rPr>
          <w:i/>
          <w:color w:val="666666"/>
          <w:sz w:val="18"/>
        </w:rPr>
        <w:t>Alaqil AI  ·  Front Public Health  ·  19.08.2026  ·  PMID 42688041</w:t>
      </w:r>
    </w:p>
    <w:p>
      <w:r>
        <w:t>Querschnittserhebung zum Wissen und zu Praktiken von Sportlehrern (n=176) zu Drogenprävention in Saudi-arabischen Schulen.</w:t>
      </w:r>
    </w:p>
    <w:p>
      <w:r>
        <w:rPr>
          <w:b/>
        </w:rPr>
        <w:t xml:space="preserve">Ergebnis: </w:t>
      </w:r>
      <w:r>
        <w:t>Sportlehrer zeigten adequates Wissen (Mittel 5,47/7), aber Missverständnisse zu Gateway-Substanzen; 73% unterstützten Integration in Lehrplan; Wissensscores sagten Präventionspraxen voraus; jedoch fehlte formale Prävention-Schulung bei den meisten, und sie nutzten private Urteile statt evidenzbasierter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strukturelle Präventionslücke auch in anderen Ländern mit Schulperspektive.</w:t>
      </w:r>
    </w:p>
    <w:p>
      <w:r>
        <w:rPr>
          <w:color w:val="5A7D3A"/>
          <w:sz w:val="18"/>
        </w:rPr>
        <w:t>https://pubmed.ncbi.nlm.nih.gov/42688041/</w:t>
      </w:r>
    </w:p>
    <w:p>
      <w:pPr>
        <w:pStyle w:val="Heading2"/>
      </w:pPr>
      <w:r>
        <w:t>Peer-Recovery-Coaches in südkoreanischer Suchtbehandlung: Qualitative Rollen-Analyse</w:t>
      </w:r>
    </w:p>
    <w:p>
      <w:r>
        <w:rPr>
          <w:i/>
          <w:color w:val="666666"/>
          <w:sz w:val="18"/>
        </w:rPr>
        <w:t>Kang KI et al.  ·  Nurs Open  ·  Sept. 2026  ·  PMID 42685341</w:t>
      </w:r>
    </w:p>
    <w:p>
      <w:r>
        <w:t>Südkoreanische qualitative Studie zu Erfahrungen von Peer-Recovery-Coaches in Suchtbehandlungsprogrammen aus Caring-Perspektive.</w:t>
      </w:r>
    </w:p>
    <w:p>
      <w:r>
        <w:rPr>
          <w:b/>
        </w:rPr>
        <w:t xml:space="preserve">Ergebnis: </w:t>
      </w:r>
      <w:r>
        <w:t>Fünf zentrale Rollen identifiziert: helfender Akteur mit objektiver Einsicht, Begleiter, erfahrungsbasierter Navigator, Facilitator des Wachstums und Betreuer mit positiven Werten; Peer Recovery Coaches fördern gegenseitige Genesung innerhalb des Caring-Prozesses.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qualitativ; Peer-Ansätze in Sucht international, aber Suchtversorgung eigenständiges System.</w:t>
      </w:r>
    </w:p>
    <w:p>
      <w:r>
        <w:rPr>
          <w:color w:val="5A7D3A"/>
          <w:sz w:val="18"/>
        </w:rPr>
        <w:t>https://pubmed.ncbi.nlm.nih.gov/42685341/</w:t>
      </w:r>
    </w:p>
    <w:p>
      <w:pPr>
        <w:pStyle w:val="Heading2"/>
      </w:pPr>
      <w:r>
        <w:t>Psychotische Depression: Hospitalisierung und Suizidrisiko in Schweden</w:t>
      </w:r>
    </w:p>
    <w:p>
      <w:r>
        <w:rPr>
          <w:i/>
          <w:color w:val="666666"/>
          <w:sz w:val="18"/>
        </w:rPr>
        <w:t>Al-Wandi A et al.  ·  J Affect Disord  ·  01.12.2026  ·  PMID 42624214</w:t>
      </w:r>
    </w:p>
    <w:p>
      <w:r>
        <w:t>Landesregister-Studie zu klinischen Ergebnissen nach Diagnose psychotischer Depression in Schweden 2012–2020.</w:t>
      </w:r>
    </w:p>
    <w:p>
      <w:r>
        <w:rPr>
          <w:b/>
        </w:rPr>
        <w:t xml:space="preserve">Ergebnis: </w:t>
      </w:r>
      <w:r>
        <w:t>Von 8048 Patienten (54,8% Frauen, Median 47 Jahre) wurden 25,1% innerhalb von 36 Wochen hospitalisiert und 0,8% starben durch Suizid; jüngeres Alter (≤25 Jahre), inpatiente Diagnose, Antipsychotika-Behandlung und frühere Hospitalisierungen erhöhten Hospitalisierungsrisiko; unter ECT-Patienten erreichten 89,8% Response und 48,4% Remission.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Routinedaten; vergleichbares öffentliches Versicherungssystem.</w:t>
      </w:r>
    </w:p>
    <w:p>
      <w:r>
        <w:rPr>
          <w:color w:val="5A7D3A"/>
          <w:sz w:val="18"/>
        </w:rPr>
        <w:t>https://pubmed.ncbi.nlm.nih.gov/42624214/</w:t>
      </w:r>
    </w:p>
    <w:p>
      <w:pPr>
        <w:pStyle w:val="Heading2"/>
      </w:pPr>
      <w:r>
        <w:t>Elternbelastung nach extremer Frühgeburt: Psychische Symptome vom NICU bis zum Term</w:t>
      </w:r>
    </w:p>
    <w:p>
      <w:r>
        <w:rPr>
          <w:i/>
          <w:color w:val="666666"/>
          <w:sz w:val="18"/>
        </w:rPr>
        <w:t>Muller KS et al.  ·  Pediatrics  ·  01.09.2026  ·  PMID 42608027</w:t>
      </w:r>
    </w:p>
    <w:p>
      <w:r>
        <w:t>Niederländische Prospektivstudie zur Trajektorie mütterlicher und väterlicher psychischer Belastung nach Frühgeburt &lt;29. Woche über Term-Äquivalentalter.</w:t>
      </w:r>
    </w:p>
    <w:p>
      <w:r>
        <w:rPr>
          <w:b/>
        </w:rPr>
        <w:t xml:space="preserve">Ergebnis: </w:t>
      </w:r>
      <w:r>
        <w:t>Bei 217 Familien (259/446 Kinder) waren 35,1% der Mütter und 16,4% der Väter bei Term-Äquivalentalter klinisch erhöhte Posttraumatische Belastungssymptome, 39,5% der Mütter und 24,3% der Väter klinisch erhöhte Depression; pränatale psychosoziale Geschichte und NICU-bezogene elterliche Stressoren waren für beide Elternteile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NICU-Netzwerk; vergleichbares Versorgungssystem.</w:t>
      </w:r>
    </w:p>
    <w:p>
      <w:r>
        <w:rPr>
          <w:color w:val="5A7D3A"/>
          <w:sz w:val="18"/>
        </w:rPr>
        <w:t>https://pubmed.ncbi.nlm.nih.gov/42608027/</w:t>
      </w:r>
    </w:p>
    <w:p>
      <w:pPr>
        <w:pStyle w:val="Heading2"/>
      </w:pPr>
      <w:r>
        <w:t>Psychisches Wohlbefinden von Jugendlichen mit belasteter Familie: Substanzmissbrauch ist Risikofaktor</w:t>
      </w:r>
    </w:p>
    <w:p>
      <w:r>
        <w:rPr>
          <w:i/>
          <w:color w:val="666666"/>
          <w:sz w:val="18"/>
        </w:rPr>
        <w:t>Van Geerenstein E et al.  ·  BMJ Paediatr Open  ·  13.08.2026  ·  PMID 42595438</w:t>
      </w:r>
    </w:p>
    <w:p>
      <w:r>
        <w:t>Schwedische Schulquerschnittsstudie zu Prävalenz und Assoziationen von psychischem Wohlbefinden bei Jugendlichen mit Verwandten mit schwerwiegenden Gesundheitsproblemen.</w:t>
      </w:r>
    </w:p>
    <w:p>
      <w:r>
        <w:rPr>
          <w:b/>
        </w:rPr>
        <w:t xml:space="preserve">Ergebnis: </w:t>
      </w:r>
      <w:r>
        <w:t>50% der 4140 Jugendlichen hatten mindestens eine Verwandte mit schwerer Erkrankung; Substanzmissbrauch in enger Verwandtschaft blieb nach Adjustment assoziiert mit niedrigerem Wohlbefinden, während andere Erkrankungen attenuierten; allgemeiner Stress und wahrgenommene Vertrauensperson waren stark protektiv.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bevölkerungsbasierte Schulstichprobe; europäischer Kontext.</w:t>
      </w:r>
    </w:p>
    <w:p>
      <w:r>
        <w:rPr>
          <w:color w:val="5A7D3A"/>
          <w:sz w:val="18"/>
        </w:rPr>
        <w:t>https://pubmed.ncbi.nlm.nih.gov/42595438/</w:t>
      </w:r>
    </w:p>
    <w:p>
      <w:pPr>
        <w:pStyle w:val="Heading2"/>
      </w:pPr>
      <w:r>
        <w:t>Aberrante Insula-Aktivität bei Depression: Negative Rückmeldungen und beeinträchtigtes Lernen</w:t>
      </w:r>
    </w:p>
    <w:p>
      <w:r>
        <w:rPr>
          <w:i/>
          <w:color w:val="666666"/>
          <w:sz w:val="18"/>
        </w:rPr>
        <w:t>Czekalla N et al.  ·  Transl Psychiatry  ·  06.08.2026  ·  PMID 42562807</w:t>
      </w:r>
    </w:p>
    <w:p>
      <w:r>
        <w:t>Neuroimaging-Studie zur Neurokomputationalen Basis maladaptiver Selbstüberzeugungen bei depressiven Patienten</w:t>
      </w:r>
    </w:p>
    <w:p>
      <w:r>
        <w:rPr>
          <w:b/>
        </w:rPr>
        <w:t xml:space="preserve">Ergebnis: </w:t>
      </w:r>
      <w:r>
        <w:t>Erhöhte Insula-Reaktivität auf negative Rückmeldungen und reduziertes Lernen von positiver Rückmeldung waren mit symptombelasteter Depression assoziiert; diese Mechanismen tragen zu kognitiven Verzerrungen und Persistenz maladaptiver Überzeugungen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 Lübeck; Neurobiologie, nicht Versorgung.</w:t>
      </w:r>
    </w:p>
    <w:p>
      <w:r>
        <w:rPr>
          <w:color w:val="5A7D3A"/>
          <w:sz w:val="18"/>
        </w:rPr>
        <w:t>https://pubmed.ncbi.nlm.nih.gov/42562807/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