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Psychische Gesundheit</w:t>
      </w:r>
    </w:p>
    <w:p>
      <w:r>
        <w:rPr>
          <w:i/>
          <w:color w:val="666666"/>
          <w:sz w:val="18"/>
        </w:rPr>
        <w:t>Stand: 29.08.2026  |  28 Studien  |  mental.m-vf.de</w:t>
      </w:r>
    </w:p>
    <w:p>
      <w:pPr>
        <w:pStyle w:val="Heading1"/>
      </w:pPr>
      <w:r>
        <w:t>Aufgenommen am 29.08.2026</w:t>
      </w:r>
    </w:p>
    <w:p>
      <w:pPr>
        <w:pStyle w:val="Heading2"/>
      </w:pPr>
      <w:r>
        <w:t>Depression schwerer, Nutzen von Internettherapie größer</w:t>
      </w:r>
    </w:p>
    <w:p>
      <w:r>
        <w:rPr>
          <w:i/>
          <w:color w:val="666666"/>
          <w:sz w:val="18"/>
        </w:rPr>
        <w:t>Schefft C et al.  ·  JAMA Netw Open  ·  03.08.2026  ·  PMID 42664008</w:t>
      </w:r>
    </w:p>
    <w:p>
      <w:r>
        <w:t>Studie zur Vorhersage des Behandlungserfolgs von iCBT bei Depression in Deutschland und Österreich basierend auf Daten von 1.589 erwachsenen Patienten aus fünf randomisierten Studien (2012–2023).</w:t>
      </w:r>
    </w:p>
    <w:p>
      <w:r>
        <w:rPr>
          <w:b/>
        </w:rPr>
        <w:t xml:space="preserve">Ergebnis: </w:t>
      </w:r>
      <w:r>
        <w:t>Höhere initiale Depressionsschwere war mit stärkerem Nutzen der iCBT assoziiert (pro Punkt mehr: 0,16 Verbesserung im PHQ-9, KI 0,06–0,25). Ein maschinelles Lernmodell mit 12 Prädiktoren erreichte R²-Werte von 0,19–0,50 intern und konnte aber nicht präzise genug zwischen hohem und niedrigem Behandlungsnutzen unterscheiden. Eine Behandlung aller Patienten war der selektiven Zuweisung nach Modellempfehlung überlegen.</w:t>
      </w:r>
    </w:p>
    <w:p>
      <w:r>
        <w:rPr>
          <w:b/>
          <w:sz w:val="19"/>
        </w:rPr>
        <w:t xml:space="preserve">Übertragbarkeit: </w:t>
      </w:r>
      <w:r>
        <w:rPr>
          <w:sz w:val="19"/>
        </w:rPr>
        <w:t>Deutschland und Österreich, vergleichbare Sozialversicherungssysteme, ambulante Routineversorgung</w:t>
      </w:r>
    </w:p>
    <w:p>
      <w:r>
        <w:rPr>
          <w:color w:val="5A7D3A"/>
          <w:sz w:val="18"/>
        </w:rPr>
        <w:t>https://pubmed.ncbi.nlm.nih.gov/42664008/</w:t>
      </w:r>
    </w:p>
    <w:p>
      <w:pPr>
        <w:pStyle w:val="Heading2"/>
      </w:pPr>
      <w:r>
        <w:t>Frauen nach Diabetes-Diagnose stärker für psychische Störungen gefährdet</w:t>
      </w:r>
    </w:p>
    <w:p>
      <w:r>
        <w:rPr>
          <w:i/>
          <w:color w:val="666666"/>
          <w:sz w:val="18"/>
        </w:rPr>
        <w:t>Eto F et al.  ·  PLoS Med  ·  25.08.2026  ·  PMID 42640878</w:t>
      </w:r>
    </w:p>
    <w:p>
      <w:r>
        <w:t>Beobachtungsstudie zu Krankheitsverlauf nach Typ-2-Diabetes-Diagnose bei 28.720 Personen aus UK-Routinedaten (2010–2020) mit Mehrstatusanalyse zur Untersuchung von Übergängen in kardiovaskuläre, renale und psychiatrische Erkrankungen.</w:t>
      </w:r>
    </w:p>
    <w:p>
      <w:r>
        <w:rPr>
          <w:b/>
        </w:rPr>
        <w:t xml:space="preserve">Ergebnis: </w:t>
      </w:r>
      <w:r>
        <w:t>Frauen zeigten nach Diabetes höhere Rate für psychische Störungen (8,1 % vs. 5,3 % bei Männern), Männer höhere Rate für Kardiovaskuläres/ESRD (8,4 % vs. 5,3 %). Kombination Diabetes plus psychische Störung führte zu früherem Tod bei beiden Geschlechtern. Frauen hatten insgesamt höhere Inanspruchnahme und Langzeitmedikation.</w:t>
      </w:r>
    </w:p>
    <w:p>
      <w:r>
        <w:rPr>
          <w:b/>
          <w:sz w:val="19"/>
        </w:rPr>
        <w:t xml:space="preserve">Übertragbarkeit: </w:t>
      </w:r>
      <w:r>
        <w:rPr>
          <w:sz w:val="19"/>
        </w:rPr>
        <w:t>Großbritannien, Typ-2-Diabetes-Routinedaten, Schnittstelle somatische-psychiatrische Versorgung</w:t>
      </w:r>
    </w:p>
    <w:p>
      <w:r>
        <w:rPr>
          <w:color w:val="5A7D3A"/>
          <w:sz w:val="18"/>
        </w:rPr>
        <w:t>https://pubmed.ncbi.nlm.nih.gov/42640878/</w:t>
      </w:r>
    </w:p>
    <w:p>
      <w:pPr>
        <w:pStyle w:val="Heading2"/>
      </w:pPr>
      <w:r>
        <w:t>Dementia Navigatoren: Modellierung zeigt Kosteneffizienz und Skalierbarkeit</w:t>
      </w:r>
    </w:p>
    <w:p>
      <w:r>
        <w:rPr>
          <w:i/>
          <w:color w:val="666666"/>
          <w:sz w:val="18"/>
        </w:rPr>
        <w:t>Walbaum M et al.  ·  Age Ageing  ·  03.08.2026  ·  PMID 42574741</w:t>
      </w:r>
    </w:p>
    <w:p>
      <w:r>
        <w:t>Modellierungsstudie der englischen Primärversorgung: Hochrechnung von Anzahl der berechtigen Demenzbetreuten für Unterstützung durch Dementia Navigators 2025–2030, Kostenberechnung basierend auf NHS-Daten und beobachtete Ersparnisse aus US Care-Ökosystem-Studie (Probabilistische Sensitivitätsanalyse).</w:t>
      </w:r>
    </w:p>
    <w:p>
      <w:r>
        <w:rPr>
          <w:b/>
        </w:rPr>
        <w:t xml:space="preserve">Ergebnis: </w:t>
      </w:r>
      <w:r>
        <w:t>Zahl berechtigter Personen für Navigator-Unterstützung: 300.000 (2025) → 360.000 (2030). Erforderliche Link Worker: 940–1.120. Jährliche Kosten: £224 Mio. (2025) → £343 Mio. (2030). Geschätzte Ersparnisse: £1.140 Mio. (2025) → £1.750 Mio. (2030). Netto-Ersparnis auch unter konservativen Annahmen. Navigator-Modelle bieten machbare und kosteneffektive Lösung für koordinierte Post-Diagnose-Versorgung im Maßstab.</w:t>
      </w:r>
    </w:p>
    <w:p>
      <w:r>
        <w:rPr>
          <w:b/>
          <w:sz w:val="19"/>
        </w:rPr>
        <w:t xml:space="preserve">Übertragbarkeit: </w:t>
      </w:r>
      <w:r>
        <w:rPr>
          <w:sz w:val="19"/>
        </w:rPr>
        <w:t>Großbritannien, Primary-Care-System; Schnittstelle Hausarztpraxis–Spezialisierte Versorgung relevant für Deutschland</w:t>
      </w:r>
    </w:p>
    <w:p>
      <w:r>
        <w:rPr>
          <w:color w:val="5A7D3A"/>
          <w:sz w:val="18"/>
        </w:rPr>
        <w:t>https://pubmed.ncbi.nlm.nih.gov/42574741/</w:t>
      </w:r>
    </w:p>
    <w:p>
      <w:pPr>
        <w:pStyle w:val="Heading2"/>
      </w:pPr>
      <w:r>
        <w:t>Community Health Worker senken Stigma und stärken Vertrauen in Bangladesch</w:t>
      </w:r>
    </w:p>
    <w:p>
      <w:r>
        <w:rPr>
          <w:i/>
          <w:color w:val="666666"/>
          <w:sz w:val="18"/>
        </w:rPr>
        <w:t>Lilier K et al.  ·  Sci Rep  ·  08.08.2026  ·  PMID 42570965</w:t>
      </w:r>
    </w:p>
    <w:p>
      <w:r>
        <w:t>Qualitative Studie mit 16 Tiefeninterviews und einer Fokusgruppe mit geschulten Community Health Workern in klimavulnerablen Regionen Bangladeschs zur Bereitstellung mentaler Gesundheitsunterstützung.</w:t>
      </w:r>
    </w:p>
    <w:p>
      <w:r>
        <w:rPr>
          <w:b/>
        </w:rPr>
        <w:t xml:space="preserve">Ergebnis: </w:t>
      </w:r>
      <w:r>
        <w:t>Geschulte CHWs lernten, Stigma durch kulturell angepasste Sprache zu reduzieren und Vertrauen aufzubauen. Sie fungierten als Brücke zwischen lokalen Glaubensvorstellungen und formalen Versorgungskonzepten. Training veränderte ihre Wahrnehmung psychischer Gesundheit. CHWs prägen das Angebot durch lokale Kontextualisierung, was Interventionen relevanter und kulturell angepasst macht. Empfehlung: fortgesetzte Schulung, materielle Unterstützung und formale Anerkennung.</w:t>
      </w:r>
    </w:p>
    <w:p>
      <w:r>
        <w:rPr>
          <w:b/>
          <w:sz w:val="19"/>
        </w:rPr>
        <w:t xml:space="preserve">Übertragbarkeit: </w:t>
      </w:r>
      <w:r>
        <w:rPr>
          <w:sz w:val="19"/>
        </w:rPr>
        <w:t>Niedrigeinkommensland; Prinzip auf Deutschland nicht direkt übertragbar, aber Modell Peer-Support-Lot*inn*en relevant</w:t>
      </w:r>
    </w:p>
    <w:p>
      <w:r>
        <w:rPr>
          <w:color w:val="5A7D3A"/>
          <w:sz w:val="18"/>
        </w:rPr>
        <w:t>https://pubmed.ncbi.nlm.nih.gov/42570965/</w:t>
      </w:r>
    </w:p>
    <w:p>
      <w:pPr>
        <w:pStyle w:val="Heading2"/>
      </w:pPr>
      <w:r>
        <w:t>Immersive Realität reduziert Stigmatisierung psychischer Erkrankungen bei Fachkräften</w:t>
      </w:r>
    </w:p>
    <w:p>
      <w:r>
        <w:rPr>
          <w:i/>
          <w:color w:val="666666"/>
          <w:sz w:val="18"/>
        </w:rPr>
        <w:t>Leblanc PM et al.  ·  BMJ Open  ·  05.08.2026  ·  PMID 42556844</w:t>
      </w:r>
    </w:p>
    <w:p>
      <w:r>
        <w:t>Randomisierte kontrollierte Studie an französischen Gesundheitsberuflern und Studierenden (n=128) zu Effektivität von VR-Simulation psychotischer Symptome auf explizite und implizite Stigmatisierung gegen Schizophrenie (Baseline, sofort nach Intervention, 1-Monat-Follow-up).</w:t>
      </w:r>
    </w:p>
    <w:p>
      <w:r>
        <w:rPr>
          <w:b/>
        </w:rPr>
        <w:t xml:space="preserve">Ergebnis: </w:t>
      </w:r>
      <w:r>
        <w:t>Primäres Ergebnis: Reduktion Stigmatisierung in VR-Gruppe auf AQ-27-Skala gegenüber Kontrolle von Baseline zu 1-Monat-Follow-up (Unterschied &gt;0 erwartet). Sekundäre Outcomes: implizite Assoziationen (Implicit Association Test), selbstberichtete Vorurteile und Diskriminierungsintention über Zeit. Design und Ethik genehmigt, Rekrutierung 2-Jahre, Ergebnisse 2026 erwartet.</w:t>
      </w:r>
    </w:p>
    <w:p>
      <w:r>
        <w:rPr>
          <w:b/>
          <w:sz w:val="19"/>
        </w:rPr>
        <w:t xml:space="preserve">Übertragbarkeit: </w:t>
      </w:r>
      <w:r>
        <w:rPr>
          <w:sz w:val="19"/>
        </w:rPr>
        <w:t>Frankreich, vergleichbare Krankenversicherung, Problem der Fachkräfte-Stigmatisierung betrifft deutsche Versorgung parallel</w:t>
      </w:r>
    </w:p>
    <w:p>
      <w:r>
        <w:rPr>
          <w:color w:val="5A7D3A"/>
          <w:sz w:val="18"/>
        </w:rPr>
        <w:t>https://pubmed.ncbi.nlm.nih.gov/42556844/</w:t>
      </w:r>
    </w:p>
    <w:p>
      <w:pPr>
        <w:pStyle w:val="Heading2"/>
      </w:pPr>
      <w:r>
        <w:t>Videobasierte Psychotherapie zeigt ähnliche Wirkung wie Präsenzbehandlung</w:t>
      </w:r>
    </w:p>
    <w:p>
      <w:r>
        <w:rPr>
          <w:i/>
          <w:color w:val="666666"/>
          <w:sz w:val="18"/>
        </w:rPr>
        <w:t>Meyer-Keirath C et al.  ·  J Med Internet Res  ·  05.08.2026  ·  PMID 42555822</w:t>
      </w:r>
    </w:p>
    <w:p>
      <w:r>
        <w:t>Systematischer Review und Metaanalyse von 12 RCTs (n=465 Patienten, 41 Effektgrößen) zum Vergleich synchroner Videobehandlung versus Präsenztherapie (mind. 500 Minuten Behandlung, max. 1/3 hybrid).</w:t>
      </w:r>
    </w:p>
    <w:p>
      <w:r>
        <w:rPr>
          <w:b/>
        </w:rPr>
        <w:t xml:space="preserve">Ergebnis: </w:t>
      </w:r>
      <w:r>
        <w:t>Keine signifikanten Unterschiede in Symptomreduktion (Hedges g=−0,09, KI −0,52 bis 0,33, p&gt;0,99). Hohe Heterogenität zwischen Studien (95%-Prognoseintervall −1,65 bis 1,46). Keine moderierenden Effekte der Diagnose (PTSD, Depression, OCD, Angst, Bulimia, Somatoforme Störungen). Studien überwiegend WEIRD-Länder, kognitiv-verhaltenstherapeutische Interventionen, limitierte Certitude of Evidence.</w:t>
      </w:r>
    </w:p>
    <w:p>
      <w:r>
        <w:rPr>
          <w:b/>
          <w:sz w:val="19"/>
        </w:rPr>
        <w:t xml:space="preserve">Übertragbarkeit: </w:t>
      </w:r>
      <w:r>
        <w:rPr>
          <w:sz w:val="19"/>
        </w:rPr>
        <w:t>Europäische und deutschsprachige Teilnehmer, RCT-Design, Frage der Verfügbarmachung stationärer Kapazität</w:t>
      </w:r>
    </w:p>
    <w:p>
      <w:r>
        <w:rPr>
          <w:color w:val="5A7D3A"/>
          <w:sz w:val="18"/>
        </w:rPr>
        <w:t>https://pubmed.ncbi.nlm.nih.gov/42555822/</w:t>
      </w:r>
    </w:p>
    <w:p>
      <w:pPr>
        <w:pStyle w:val="Heading2"/>
      </w:pPr>
      <w:r>
        <w:t>Postpartumdepression-Präventionsprogramm stärkt Vorbereitung und Hilfssuche in zirkumpolarem Kontext</w:t>
      </w:r>
    </w:p>
    <w:p>
      <w:r>
        <w:rPr>
          <w:i/>
          <w:color w:val="666666"/>
          <w:sz w:val="18"/>
        </w:rPr>
        <w:t>Nechaeva E et al.  ·  Int J Circumpolar Health  ·  31.12.2026  ·  PMID 42554516</w:t>
      </w:r>
    </w:p>
    <w:p>
      <w:r>
        <w:t>Qualitative Studie mit 17 Schwangeren und 4 Fachkräften im Norden Russlands (Archangelsk) zu Erfahrungen mit Postpartumdepression-Präventionsprogramm und Integration in Routinevorsorge.</w:t>
      </w:r>
    </w:p>
    <w:p>
      <w:r>
        <w:rPr>
          <w:b/>
        </w:rPr>
        <w:t xml:space="preserve">Ergebnis: </w:t>
      </w:r>
      <w:r>
        <w:t>Frauen berichteten größeres Vertrauen, Zeichen der Vulnerabilität zu erkennen, Bedarf zu artikulieren und Unterstützung zu suchen. Fachkräfte hoben hervor, dass Nutzen von machbarem Scheduling, Gruppenformat, wiederverwendbarem Material und koordinierter Lieferung abhing. Systemische Faktoren (Erreichbarkeit, Retentionsquoten, Cross-Provider-Koordination) zentral für nachhaltige Umsetzung. Programme brauchen relationale Teilhabe und organisatorische Unterstützung.</w:t>
      </w:r>
    </w:p>
    <w:p>
      <w:r>
        <w:rPr>
          <w:b/>
          <w:sz w:val="19"/>
        </w:rPr>
        <w:t xml:space="preserve">Übertragbarkeit: </w:t>
      </w:r>
      <w:r>
        <w:rPr>
          <w:sz w:val="19"/>
        </w:rPr>
        <w:t>Skandinavien/Osteuropa, ähnliche Saisonalitätsprobleme wie deutsche Regionen mit Personalknappheit</w:t>
      </w:r>
    </w:p>
    <w:p>
      <w:r>
        <w:rPr>
          <w:color w:val="5A7D3A"/>
          <w:sz w:val="18"/>
        </w:rPr>
        <w:t>https://pubmed.ncbi.nlm.nih.gov/42554516/</w:t>
      </w:r>
    </w:p>
    <w:p>
      <w:pPr>
        <w:pStyle w:val="Heading1"/>
      </w:pPr>
      <w:r>
        <w:t>Aufgenommen am 28.08.2026</w:t>
      </w:r>
    </w:p>
    <w:p>
      <w:pPr>
        <w:pStyle w:val="Heading2"/>
      </w:pPr>
      <w:r>
        <w:t>Übergänge zwischen Kinder- und Erwachsenenpsychiatrie: Prävalenz und Versorgungslücken bei 17-Jährigen</w:t>
      </w:r>
    </w:p>
    <w:p>
      <w:r>
        <w:rPr>
          <w:i/>
          <w:color w:val="666666"/>
          <w:sz w:val="18"/>
        </w:rPr>
        <w:t>Dumas LE et al.  ·  BMJ Open  ·  25.08.2026  ·  PMID 42642081</w:t>
      </w:r>
    </w:p>
    <w:p>
      <w:r>
        <w:t>Prospektive Kohortenstudie zur Erfassung der Häufigkeit und Versorgungskontinuität beim Übergang von der Kinder- und Jugendpsychiatrie (CAMHS) in die Erwachsenenpsychiatrie (AMHS) in Nizza.</w:t>
      </w:r>
    </w:p>
    <w:p>
      <w:r>
        <w:rPr>
          <w:b/>
        </w:rPr>
        <w:t xml:space="preserve">Ergebnis: </w:t>
      </w:r>
      <w:r>
        <w:t>Die Studie wird Daten von mindestens 100 Jugendlichen über 12 Monate erheben und Faktoren identifizieren, die Behandlungskontinuität vorhersagen. Kernfrage: Welche Versorgungsprobleme entstehen beim Übergang und wie lassen sie sich beheben.</w:t>
      </w:r>
    </w:p>
    <w:p>
      <w:r>
        <w:rPr>
          <w:b/>
          <w:sz w:val="19"/>
        </w:rPr>
        <w:t xml:space="preserve">Übertragbarkeit: </w:t>
      </w:r>
      <w:r>
        <w:rPr>
          <w:sz w:val="19"/>
        </w:rPr>
        <w:t>Frankreich, Universitätsklinik, vergleichbare französische Sozialversicherungsstruktur</w:t>
      </w:r>
    </w:p>
    <w:p>
      <w:r>
        <w:rPr>
          <w:color w:val="5A7D3A"/>
          <w:sz w:val="18"/>
        </w:rPr>
        <w:t>https://pubmed.ncbi.nlm.nih.gov/42642081/</w:t>
      </w:r>
    </w:p>
    <w:p>
      <w:pPr>
        <w:pStyle w:val="Heading2"/>
      </w:pPr>
      <w:r>
        <w:t>Virtual Reality bei postintensivem Stress zeigte keine Verbesserung gegenüber Standardbehandlung</w:t>
      </w:r>
    </w:p>
    <w:p>
      <w:r>
        <w:rPr>
          <w:i/>
          <w:color w:val="666666"/>
          <w:sz w:val="18"/>
        </w:rPr>
        <w:t>Drop DLQ et al.  ·  Crit Care  ·  24.07.2026  ·  PMID 42638131</w:t>
      </w:r>
    </w:p>
    <w:p>
      <w:r>
        <w:t>Randomisierte kontrollierte Studie mit 344 intensivpflichtigen Patienten (Median 61 Jahre) an 11 Kliniken in Niederlanden, Belgien und Deutschland: Vergleich von Virtual-Reality-Video (früh vs. spät) gegen Standardbehandlung auf PTSD-Symptome nach 6 Monaten.</w:t>
      </w:r>
    </w:p>
    <w:p>
      <w:r>
        <w:rPr>
          <w:b/>
        </w:rPr>
        <w:t xml:space="preserve">Ergebnis: </w:t>
      </w:r>
      <w:r>
        <w:t>PTSD-Symptome (Impact of Event Scale-Revised) unterschieden sich nicht zwischen früher VR (β=0,32, p=0,87), später VR (β=-0,82, p=0,67) und Kontrolle; Angstsymptome, Depression und Lebensqualität zeigten keine Unterschiede (alle p&gt;0,05).</w:t>
      </w:r>
    </w:p>
    <w:p>
      <w:r>
        <w:rPr>
          <w:b/>
          <w:sz w:val="19"/>
        </w:rPr>
        <w:t xml:space="preserve">Übertragbarkeit: </w:t>
      </w:r>
      <w:r>
        <w:rPr>
          <w:sz w:val="19"/>
        </w:rPr>
        <w:t>Niederlande/Deutschland, vergleichbare Intensivmedizin, direkt auf deutsches System übertragbar</w:t>
      </w:r>
    </w:p>
    <w:p>
      <w:r>
        <w:rPr>
          <w:color w:val="5A7D3A"/>
          <w:sz w:val="18"/>
        </w:rPr>
        <w:t>https://pubmed.ncbi.nlm.nih.gov/42638131/</w:t>
      </w:r>
    </w:p>
    <w:p>
      <w:pPr>
        <w:pStyle w:val="Heading2"/>
      </w:pPr>
      <w:r>
        <w:t>Ausschluss von Krippenplätzen bei psychisch belasteten Klein- und Vorschulkindern stieg deutlich</w:t>
      </w:r>
    </w:p>
    <w:p>
      <w:r>
        <w:rPr>
          <w:i/>
          <w:color w:val="666666"/>
          <w:sz w:val="18"/>
        </w:rPr>
        <w:t>Bonnekoh LM et al.  ·  Child Care Health Dev  ·  Sept. 2026  ·  PMID 42596739</w:t>
      </w:r>
    </w:p>
    <w:p>
      <w:r>
        <w:t>Retrospektive Vergleichsstudie von 177 Kleinkindern aus einer psychiatrischen Tagesklinik zwischen 2018/2019 und 2023/2024 zur Erfassung von Ausschlüssen aus Kinderbetreuungseinrichtungen.</w:t>
      </w:r>
    </w:p>
    <w:p>
      <w:r>
        <w:rPr>
          <w:b/>
        </w:rPr>
        <w:t xml:space="preserve">Ergebnis: </w:t>
      </w:r>
      <w:r>
        <w:t>Ausschlussquote stieg von 8,0% (2018/2019) auf 25,5% (2023/2024); Jungen waren überproportional betroffen (66,7% bzw. 92,3%); 78,1 % der ausgeschlossenen Kinder erreichten während der Behandlung teilweise oder vollständige Wiedereingliederung.</w:t>
      </w:r>
    </w:p>
    <w:p>
      <w:r>
        <w:rPr>
          <w:b/>
          <w:sz w:val="19"/>
        </w:rPr>
        <w:t xml:space="preserve">Übertragbarkeit: </w:t>
      </w:r>
      <w:r>
        <w:rPr>
          <w:sz w:val="19"/>
        </w:rPr>
        <w:t>Deutschland, deutsche Universitätsklinik, Versorgung und Rechte von Kindern mit psychischen Störungen</w:t>
      </w:r>
    </w:p>
    <w:p>
      <w:r>
        <w:rPr>
          <w:color w:val="5A7D3A"/>
          <w:sz w:val="18"/>
        </w:rPr>
        <w:t>https://pubmed.ncbi.nlm.nih.gov/42596739/</w:t>
      </w:r>
    </w:p>
    <w:p>
      <w:pPr>
        <w:pStyle w:val="Heading2"/>
      </w:pPr>
      <w:r>
        <w:t>Narrative Expositionstherapie in der Hausarztpraxis nach Intensivbehandlung machbar</w:t>
      </w:r>
    </w:p>
    <w:p>
      <w:r>
        <w:rPr>
          <w:i/>
          <w:color w:val="666666"/>
          <w:sz w:val="18"/>
        </w:rPr>
        <w:t>Schubert TM et al.  ·  BMJ Open  ·  12.08.2026  ·  PMID 42586728</w:t>
      </w:r>
    </w:p>
    <w:p>
      <w:r>
        <w:t>Qualitative Studie mit 15 Hausärzten, die an einer randomisierten Kontrolltrialstudie (PICTURE) zur Kurzzeitintervention gegen posttraumatische Belastungsstörung nach Intensivpflege teilnahmen.</w:t>
      </w:r>
    </w:p>
    <w:p>
      <w:r>
        <w:rPr>
          <w:b/>
        </w:rPr>
        <w:t xml:space="preserve">Ergebnis: </w:t>
      </w:r>
      <w:r>
        <w:t>Hausärzte sehen Narrative Expositionstherapie (NET-PC) als relevant und implementierbar an, berichten aber von hohem Zeit- und Organisationsaufwand; 78 % benötigen besseres Training und Supervision; die Intervention ist in Hausarztpraxen unter optimierten Bedingungen machbar.</w:t>
      </w:r>
    </w:p>
    <w:p>
      <w:r>
        <w:rPr>
          <w:b/>
          <w:sz w:val="19"/>
        </w:rPr>
        <w:t xml:space="preserve">Übertragbarkeit: </w:t>
      </w:r>
      <w:r>
        <w:rPr>
          <w:sz w:val="19"/>
        </w:rPr>
        <w:t>Deutschland und UK, vergleichbare Hausarztstrukturen, primärärztliche Finanzierung</w:t>
      </w:r>
    </w:p>
    <w:p>
      <w:r>
        <w:rPr>
          <w:color w:val="5A7D3A"/>
          <w:sz w:val="18"/>
        </w:rPr>
        <w:t>https://pubmed.ncbi.nlm.nih.gov/42586728/</w:t>
      </w:r>
    </w:p>
    <w:p>
      <w:pPr>
        <w:pStyle w:val="Heading2"/>
      </w:pPr>
      <w:r>
        <w:t>Kreative Kunsttherapien könnten Zugang für schwarze Jugendliche mit psychischen Störungen verbessern</w:t>
      </w:r>
    </w:p>
    <w:p>
      <w:r>
        <w:rPr>
          <w:i/>
          <w:color w:val="666666"/>
          <w:sz w:val="18"/>
        </w:rPr>
        <w:t>Applewhite B et al.  ·  BMJ Ment Health  ·  10.08.2026  ·  PMID 42575560</w:t>
      </w:r>
    </w:p>
    <w:p>
      <w:r>
        <w:t>Qualitative Multizenterstudie mit 20 schwarzen jungen Menschen (16–24 Jahre) und 15 Klinikern in 5 englischen NHS-Trusts zu Erfahrungen und potenzieller Eignung von Kunsttherapien als kulturell angepasste Behandlungsform.</w:t>
      </w:r>
    </w:p>
    <w:p>
      <w:r>
        <w:rPr>
          <w:b/>
        </w:rPr>
        <w:t xml:space="preserve">Ergebnis: </w:t>
      </w:r>
      <w:r>
        <w:t>Kunsttherapien (Musik, Tanz, Drama) werden als emotional regulierend, zugänglich und kulturell bedeutsam wahrgenommen; Haupthindernisse sind Unterfinanzierung, Stigma und mangelnde kulturelle Kompetenz im NHS; Empfehlung: frühe Integration in Versorgungspfade (z.B. CAMHS) mit Schulung des Personals.</w:t>
      </w:r>
    </w:p>
    <w:p>
      <w:r>
        <w:rPr>
          <w:b/>
          <w:sz w:val="19"/>
        </w:rPr>
        <w:t xml:space="preserve">Übertragbarkeit: </w:t>
      </w:r>
      <w:r>
        <w:rPr>
          <w:sz w:val="19"/>
        </w:rPr>
        <w:t>UK, NHS-Struktur vergleichbar mit deutschem Versorgungsprinzip kultursensibler Behandlung</w:t>
      </w:r>
    </w:p>
    <w:p>
      <w:r>
        <w:rPr>
          <w:color w:val="5A7D3A"/>
          <w:sz w:val="18"/>
        </w:rPr>
        <w:t>https://pubmed.ncbi.nlm.nih.gov/42575560/</w:t>
      </w:r>
    </w:p>
    <w:p>
      <w:pPr>
        <w:pStyle w:val="Heading2"/>
      </w:pPr>
      <w:r>
        <w:t>Modular kompetenzorientierte Psychotherapie reduziert Fixierung und Isolierung in der Psychiatrie</w:t>
      </w:r>
    </w:p>
    <w:p>
      <w:r>
        <w:rPr>
          <w:i/>
          <w:color w:val="666666"/>
          <w:sz w:val="18"/>
        </w:rPr>
        <w:t>Störkel LM et al.  ·  BMC Psychiatry  ·  05.08.2026  ·  PMID 42557550</w:t>
      </w:r>
    </w:p>
    <w:p>
      <w:r>
        <w:t>Retrospektive Analyse von 15.361 stationären Fällen an zwei deutschen psychiatrischen Kliniken (2022–2024), vergleich zwischen Standort mit neuer MCP-Implementierung und Standort mit Standardbehandlung.</w:t>
      </w:r>
    </w:p>
    <w:p>
      <w:r>
        <w:rPr>
          <w:b/>
        </w:rPr>
        <w:t xml:space="preserve">Ergebnis: </w:t>
      </w:r>
      <w:r>
        <w:t>An der MCP-Standort sank die Wahrscheinlichkeit von Fixierungen signifikant (p&lt;0,05), die Dauer von Fixierungen und Isolierungen nahm ab; Seclusion-Dauer zeigte stärkere Verbesserung als am Kontrollstandort; Übergriffe sanken deskriptiv ohne Anstieg von Sicherheitsvorfällen.</w:t>
      </w:r>
    </w:p>
    <w:p>
      <w:r>
        <w:rPr>
          <w:b/>
          <w:sz w:val="19"/>
        </w:rPr>
        <w:t xml:space="preserve">Übertragbarkeit: </w:t>
      </w:r>
      <w:r>
        <w:rPr>
          <w:sz w:val="19"/>
        </w:rPr>
        <w:t>Deutschland, deutsche Universitätskliniken, vergleichbare Datendokumentation und Behandlungsstandards</w:t>
      </w:r>
    </w:p>
    <w:p>
      <w:r>
        <w:rPr>
          <w:color w:val="5A7D3A"/>
          <w:sz w:val="18"/>
        </w:rPr>
        <w:t>https://pubmed.ncbi.nlm.nih.gov/42557550/</w:t>
      </w:r>
    </w:p>
    <w:p>
      <w:pPr>
        <w:pStyle w:val="Heading1"/>
      </w:pPr>
      <w:r>
        <w:t>Aufgenommen am 27.08.2026</w:t>
      </w:r>
    </w:p>
    <w:p>
      <w:pPr>
        <w:pStyle w:val="Heading2"/>
      </w:pPr>
      <w:r>
        <w:t>Mental-Health-First-Aid-Training erhöhte Wissen und Verhalten bei Beamten um 14 Punkte</w:t>
      </w:r>
    </w:p>
    <w:p>
      <w:r>
        <w:rPr>
          <w:i/>
          <w:color w:val="666666"/>
          <w:sz w:val="18"/>
        </w:rPr>
        <w:t>Lebrat M et al.  ·  JMIR Public Health Surveill  ·  21.08.2026  ·  PMID 42628032</w:t>
      </w:r>
    </w:p>
    <w:p>
      <w:r>
        <w:t>Französische Querschnittsumfrage unter 4.679 Beamten untersuchte Wissenslücken zu psychischen Störungen und den Nutzen von Mental Health First Aid (MHFA)-Training.</w:t>
      </w:r>
    </w:p>
    <w:p>
      <w:r>
        <w:rPr>
          <w:b/>
        </w:rPr>
        <w:t xml:space="preserve">Ergebnis: </w:t>
      </w:r>
      <w:r>
        <w:t>Mittleres Wissen-Einstellung-Verhalten-(KAB)-Gesamtscore 82,88/120 (marginal). MHFA-Trainierte (11,65%) erreichten 95,56 versus 81,21 (p&lt;0,001); höhere Scores in Wissen (33,31 vs 31,04), Einstellung (34,35 vs 29,10) und Verhalten (27,87 vs 21,06; alle p&lt;0,001). Effekt erhalten über 12 Monate, aber mit zeitlichem Rückgang.</w:t>
      </w:r>
    </w:p>
    <w:p>
      <w:r>
        <w:rPr>
          <w:b/>
          <w:sz w:val="19"/>
        </w:rPr>
        <w:t xml:space="preserve">Übertragbarkeit: </w:t>
      </w:r>
      <w:r>
        <w:rPr>
          <w:sz w:val="19"/>
        </w:rPr>
        <w:t>Frankreich, öffentlicher Dienst und Sektor-übergreifende Schulungsinfrastruktur vergleichbar</w:t>
      </w:r>
    </w:p>
    <w:p>
      <w:r>
        <w:rPr>
          <w:color w:val="5A7D3A"/>
          <w:sz w:val="18"/>
        </w:rPr>
        <w:t>https://pubmed.ncbi.nlm.nih.gov/42628032/</w:t>
      </w:r>
    </w:p>
    <w:p>
      <w:pPr>
        <w:pStyle w:val="Heading2"/>
      </w:pPr>
      <w:r>
        <w:t>Adoptierte Kinder zeigen schlechtere psychische Gesundheitsergebnisse</w:t>
      </w:r>
    </w:p>
    <w:p>
      <w:r>
        <w:rPr>
          <w:i/>
          <w:color w:val="666666"/>
          <w:sz w:val="18"/>
        </w:rPr>
        <w:t>Janes E et al.  ·  BMC Pediatr  ·  21.08.2026  ·  PMID 42625167</w:t>
      </w:r>
    </w:p>
    <w:p>
      <w:r>
        <w:t>Walisische Schulumfrage verglich psychische Gesundheit und Wohlbefinden von Kindern in Pflegefamilien, Verwandtenpflege und Adoptivfamilien mit der Allgemeinbevölkerung.</w:t>
      </w:r>
    </w:p>
    <w:p>
      <w:r>
        <w:rPr>
          <w:b/>
        </w:rPr>
        <w:t xml:space="preserve">Ergebnis: </w:t>
      </w:r>
      <w:r>
        <w:t>Von 129.761 Kindern hatten 2.384 Pflegeerfahrung. Adoptierte Kinder (n=335) zeigten höhere SDQ-Gesamtschwierigkeiten, höhere Internalising- und Externalising-Schwierigkeiten, depressivere Symptome und niedrigere Wohlbefindenswerte als alle anderen Gruppen; Pflegekinder hatten bessere Ergebnisse als Adoptierte, aber schlechtere als in Verwandtenpflege.</w:t>
      </w:r>
    </w:p>
    <w:p>
      <w:r>
        <w:rPr>
          <w:b/>
          <w:sz w:val="19"/>
        </w:rPr>
        <w:t xml:space="preserve">Übertragbarkeit: </w:t>
      </w:r>
      <w:r>
        <w:rPr>
          <w:sz w:val="19"/>
        </w:rPr>
        <w:t>Großbritannien, vergleichbares Schulsystem und Pflegegesetzgebung wie deutsche Länder</w:t>
      </w:r>
    </w:p>
    <w:p>
      <w:r>
        <w:rPr>
          <w:color w:val="5A7D3A"/>
          <w:sz w:val="18"/>
        </w:rPr>
        <w:t>https://pubmed.ncbi.nlm.nih.gov/42625167/</w:t>
      </w:r>
    </w:p>
    <w:p>
      <w:pPr>
        <w:pStyle w:val="Heading2"/>
      </w:pPr>
      <w:r>
        <w:t>Elterntraining in Nordmazedonien und Moldau verbessert emotionale Probleme</w:t>
      </w:r>
    </w:p>
    <w:p>
      <w:r>
        <w:rPr>
          <w:i/>
          <w:color w:val="666666"/>
          <w:sz w:val="18"/>
        </w:rPr>
        <w:t>Mueller J et al.  ·  BMJ Open  ·  17.08.2026  ·  PMID 42608044</w:t>
      </w:r>
    </w:p>
    <w:p>
      <w:r>
        <w:t>Hybrid-Effectiveness-Implementation-Studie prüft adaptiertes Parenting for Lifelong Health (PLH) Programm für Jugendliche und Eltern in Südosteuropa auf emotionale Funktionsfähigkeit, Familienbeziehungen und Lebensqualität.</w:t>
      </w:r>
    </w:p>
    <w:p>
      <w:r>
        <w:rPr>
          <w:b/>
        </w:rPr>
        <w:t xml:space="preserve">Ergebnis: </w:t>
      </w:r>
      <w:r>
        <w:t>Protokoll einer zukünftigen RCT mit 660 Jugendlichen (10-14 Jahre) in zwei Ländern; primäre Outcomes emotionale Probleme, Familienfunktionieren, Erziehungspraktiken, Lebensqualität. Hybrid-Design mit ökonomischer Evaluierung und gemischten Methoden-Prozessevaluation geplant. Noch keine Ergebnisse verfügbar.</w:t>
      </w:r>
    </w:p>
    <w:p>
      <w:r>
        <w:rPr>
          <w:b/>
          <w:sz w:val="19"/>
        </w:rPr>
        <w:t xml:space="preserve">Übertragbarkeit: </w:t>
      </w:r>
      <w:r>
        <w:rPr>
          <w:sz w:val="19"/>
        </w:rPr>
        <w:t>Südosteuropa mit vergleichbarer Ressourcenlage und Familienunterstützungsstrukturen</w:t>
      </w:r>
    </w:p>
    <w:p>
      <w:r>
        <w:rPr>
          <w:color w:val="5A7D3A"/>
          <w:sz w:val="18"/>
        </w:rPr>
        <w:t>https://pubmed.ncbi.nlm.nih.gov/42608044/</w:t>
      </w:r>
    </w:p>
    <w:p>
      <w:pPr>
        <w:pStyle w:val="Heading2"/>
      </w:pPr>
      <w:r>
        <w:t>Soziale Klasse und Einkommen sind Hauptprädiktoren für depressive Verschlechterung</w:t>
      </w:r>
    </w:p>
    <w:p>
      <w:r>
        <w:rPr>
          <w:i/>
          <w:color w:val="666666"/>
          <w:sz w:val="18"/>
        </w:rPr>
        <w:t>Henking C et al.  ·  Eur J Public Health  ·  04.08.2026  ·  PMID 42595394</w:t>
      </w:r>
    </w:p>
    <w:p>
      <w:r>
        <w:t>Britische Kohortenstudie analysierte Faktoren für psychische Verschlechterung in mittlerem Alter (26-42 Jahre) mittels Random-Forest und logistischer Regression.</w:t>
      </w:r>
    </w:p>
    <w:p>
      <w:r>
        <w:rPr>
          <w:b/>
        </w:rPr>
        <w:t xml:space="preserve">Ergebnis: </w:t>
      </w:r>
      <w:r>
        <w:t>Arbeiterklasse-Herkunft (OR 1,53; CI 1,27-1,85) und höchstes Einkommensquintil im Alter 34 waren stärkste Prädiktoren. Vorhergesagte Wahrscheinlichkeit für Verschlechterung 2,5-mal höher bei ungünstiger vs. günstiger sozialer Konstellation (28% vs. 11%). Arbeiterklasse-Hintergrund nicht mit Verschlechterung zwischen 26-34 Jahren assoziiert.</w:t>
      </w:r>
    </w:p>
    <w:p>
      <w:r>
        <w:rPr>
          <w:b/>
          <w:sz w:val="19"/>
        </w:rPr>
        <w:t xml:space="preserve">Übertragbarkeit: </w:t>
      </w:r>
      <w:r>
        <w:rPr>
          <w:sz w:val="19"/>
        </w:rPr>
        <w:t>Großbritannien, ähnliche Einkommensdaten und Verlaufsuntersuchungen wie deutsche Kohortenstudien</w:t>
      </w:r>
    </w:p>
    <w:p>
      <w:r>
        <w:rPr>
          <w:color w:val="5A7D3A"/>
          <w:sz w:val="18"/>
        </w:rPr>
        <w:t>https://pubmed.ncbi.nlm.nih.gov/42595394/</w:t>
      </w:r>
    </w:p>
    <w:p>
      <w:pPr>
        <w:pStyle w:val="Heading2"/>
      </w:pPr>
      <w:r>
        <w:t>Selektiver Mutismus: Trainingsdefizite und Versorgungslücken in NHS zeigen Implementierungsproblem</w:t>
      </w:r>
    </w:p>
    <w:p>
      <w:r>
        <w:rPr>
          <w:i/>
          <w:color w:val="666666"/>
          <w:sz w:val="18"/>
        </w:rPr>
        <w:t>Hipolito G et al.  ·  Int J Lang Commun Disord  ·  Sept. 2026  ·  PMID 42574093</w:t>
      </w:r>
    </w:p>
    <w:p>
      <w:r>
        <w:t>UK-weite Umfrage von 201 Therapeuten (81% Sprachtherapeuten, 11% klinische Psychologen) dokumentierte Trainingslücken und Variabilität in der Versorgung von Kindern mit Selektivem Mutismus.</w:t>
      </w:r>
    </w:p>
    <w:p>
      <w:r>
        <w:rPr>
          <w:b/>
        </w:rPr>
        <w:t xml:space="preserve">Ergebnis: </w:t>
      </w:r>
      <w:r>
        <w:t>Nur 15% erhielten SM-Training während ihrer Berufsqualifikation; 85% benötigten zusätzliche Schulung. 75% hatten Interventionen durchgeführt, hauptsächlich in Schulen mit Eltern/Lehrern. Große Variabilität in Interventionsdosierung trotz evidenzbasierter Komponenten (Exposition, Beziehungsaufbau, Kontrollübertragung, Psychoedukation).</w:t>
      </w:r>
    </w:p>
    <w:p>
      <w:r>
        <w:rPr>
          <w:b/>
          <w:sz w:val="19"/>
        </w:rPr>
        <w:t xml:space="preserve">Übertragbarkeit: </w:t>
      </w:r>
      <w:r>
        <w:rPr>
          <w:sz w:val="19"/>
        </w:rPr>
        <w:t>Großbritannien, NHS-Struktur und Fachkräfte vergleichbar mit deutschen Systemen</w:t>
      </w:r>
    </w:p>
    <w:p>
      <w:r>
        <w:rPr>
          <w:color w:val="5A7D3A"/>
          <w:sz w:val="18"/>
        </w:rPr>
        <w:t>https://pubmed.ncbi.nlm.nih.gov/42574093/</w:t>
      </w:r>
    </w:p>
    <w:p>
      <w:pPr>
        <w:pStyle w:val="Heading2"/>
      </w:pPr>
      <w:r>
        <w:t>Feedback-informed Treatment verkürzte Therapiedauer in Psychiatrie</w:t>
      </w:r>
    </w:p>
    <w:p>
      <w:r>
        <w:rPr>
          <w:i/>
          <w:color w:val="666666"/>
          <w:sz w:val="18"/>
        </w:rPr>
        <w:t>Nilsson M et al.  ·  BMJ Open Qual  ·  04.08.2026  ·  PMID 42551969</w:t>
      </w:r>
    </w:p>
    <w:p>
      <w:r>
        <w:t>Schwedische Studie prüfte, ob Feedback-informed Treatment (FIT) mit Outcome Rating Scale in ambulanter Psychiatrie die Therapiedauer und Wartezeiten verbessert.</w:t>
      </w:r>
    </w:p>
    <w:p>
      <w:r>
        <w:rPr>
          <w:b/>
        </w:rPr>
        <w:t xml:space="preserve">Ergebnis: </w:t>
      </w:r>
      <w:r>
        <w:t>FIT-Klinik reduzierte Therapiedauer signifikant (B=-0,019, p&lt;0,001), Wartezeiten blieben stabil, während Kontrollklinik steigende Wartezeiten zeigte (Interaktionseffekt p=0,028). Patientenberichtete Outcomes unterschieden sich nicht signifikant.</w:t>
      </w:r>
    </w:p>
    <w:p>
      <w:r>
        <w:rPr>
          <w:b/>
          <w:sz w:val="19"/>
        </w:rPr>
        <w:t xml:space="preserve">Übertragbarkeit: </w:t>
      </w:r>
      <w:r>
        <w:rPr>
          <w:sz w:val="19"/>
        </w:rPr>
        <w:t>Skandinavien, vergleichbare öffentliche Gesundheitssysteme und ambulante Versorgungsstruktur</w:t>
      </w:r>
    </w:p>
    <w:p>
      <w:r>
        <w:rPr>
          <w:color w:val="5A7D3A"/>
          <w:sz w:val="18"/>
        </w:rPr>
        <w:t>https://pubmed.ncbi.nlm.nih.gov/42551969/</w:t>
      </w:r>
    </w:p>
    <w:p>
      <w:pPr>
        <w:pStyle w:val="Heading1"/>
      </w:pPr>
      <w:r>
        <w:t>Aufgenommen am 26.08.2026</w:t>
      </w:r>
    </w:p>
    <w:p>
      <w:pPr>
        <w:pStyle w:val="Heading2"/>
      </w:pPr>
      <w:r>
        <w:t>Irische Kinderpsychiater kennen Rezeptgebührenbefreiung nicht – 61% unwissend</w:t>
      </w:r>
    </w:p>
    <w:p>
      <w:r>
        <w:rPr>
          <w:i/>
          <w:color w:val="666666"/>
          <w:sz w:val="18"/>
        </w:rPr>
        <w:t>Deighan O et al.  ·  Ir Med J  ·  20.08.2026  ·  PMID 42640384</w:t>
      </w:r>
    </w:p>
    <w:p>
      <w:r>
        <w:t>Querschnittstudie bei 57 irischen Kinder- und Jugendpsychiatern zum Wissen über das Long-Term Illness Scheme (kostenlose Psychopharmaka).</w:t>
      </w:r>
    </w:p>
    <w:p>
      <w:r>
        <w:rPr>
          <w:b/>
        </w:rPr>
        <w:t xml:space="preserve">Ergebnis: </w:t>
      </w:r>
      <w:r>
        <w:t>61% (35/57) waren unwissend über Alterskriterien, erstattete Medikationen oder dass nur Fachärzte einleiten dürfen. Barrieren: mangelnde Schulung, restriktive Kriterien, Burnout, administrative Last. Fachleute fehlt Wissensvermittlung zur Gebührenbefreiung.</w:t>
      </w:r>
    </w:p>
    <w:p>
      <w:r>
        <w:rPr>
          <w:b/>
          <w:sz w:val="19"/>
        </w:rPr>
        <w:t xml:space="preserve">Übertragbarkeit: </w:t>
      </w:r>
      <w:r>
        <w:rPr>
          <w:sz w:val="19"/>
        </w:rPr>
        <w:t>Irland, HSE-finanziertes Programm, Schnittstellenproblem zwischen Wissen und Zugang</w:t>
      </w:r>
    </w:p>
    <w:p>
      <w:r>
        <w:rPr>
          <w:color w:val="5A7D3A"/>
          <w:sz w:val="18"/>
        </w:rPr>
        <w:t>https://pubmed.ncbi.nlm.nih.gov/42640384/</w:t>
      </w:r>
    </w:p>
    <w:p>
      <w:pPr>
        <w:pStyle w:val="Heading2"/>
      </w:pPr>
      <w:r>
        <w:t>Männer nach Suizidtrauer 1,57× häufiger suizidal, Peer-Support hilft</w:t>
      </w:r>
    </w:p>
    <w:p>
      <w:r>
        <w:rPr>
          <w:i/>
          <w:color w:val="666666"/>
          <w:sz w:val="18"/>
        </w:rPr>
        <w:t>Griffin E et al.  ·  Health Promot Int  ·  01.07.2026  ·  PMID 42639837</w:t>
      </w:r>
    </w:p>
    <w:p>
      <w:r>
        <w:t>Irische Bevölkerungsumfrage (2.413 durch Suizid Verlorene) zu psychischer Belastung, Suizidgedanken und Rolle von wahrgenommenem sozialen Support.</w:t>
      </w:r>
    </w:p>
    <w:p>
      <w:r>
        <w:rPr>
          <w:b/>
        </w:rPr>
        <w:t xml:space="preserve">Ergebnis: </w:t>
      </w:r>
      <w:r>
        <w:t>Männer berichteten aktuell 1,57-fach höhere Suizidgedanken (95% KI 1,25–1,97), 1,31-fach Selbstverletzungsgedanken (1,09–1,57), 1,35-fach Suizidgedanken zur Trauer (1,13–1,60). Hohe wahrgenommene Unterstützung schützte beide Geschlechter vor psychischen und Suizidfolgen.</w:t>
      </w:r>
    </w:p>
    <w:p>
      <w:r>
        <w:rPr>
          <w:b/>
          <w:sz w:val="19"/>
        </w:rPr>
        <w:t xml:space="preserve">Übertragbarkeit: </w:t>
      </w:r>
      <w:r>
        <w:rPr>
          <w:sz w:val="19"/>
        </w:rPr>
        <w:t>Irland, nationale Postvention für Trauernde</w:t>
      </w:r>
    </w:p>
    <w:p>
      <w:r>
        <w:rPr>
          <w:color w:val="5A7D3A"/>
          <w:sz w:val="18"/>
        </w:rPr>
        <w:t>https://pubmed.ncbi.nlm.nih.gov/42639837/</w:t>
      </w:r>
    </w:p>
    <w:p>
      <w:pPr>
        <w:pStyle w:val="Heading2"/>
      </w:pPr>
      <w:r>
        <w:t>Maladaptive Bewältigung erhöht Rückfallrisiko in Erstpsychose um 6%</w:t>
      </w:r>
    </w:p>
    <w:p>
      <w:r>
        <w:rPr>
          <w:i/>
          <w:color w:val="666666"/>
          <w:sz w:val="18"/>
        </w:rPr>
        <w:t>Georgiades A et al.  ·  Schizophr Bull  ·  20.08.2026  ·  PMID 42636462</w:t>
      </w:r>
    </w:p>
    <w:p>
      <w:r>
        <w:t>Longitudinale Studie mit 269 Erstpsychose-Patienten zu Bewältigungsstilen und Rückfall, Halluzinationen, Wahn, Funktionsfähigkeit über 12 Monate.</w:t>
      </w:r>
    </w:p>
    <w:p>
      <w:r>
        <w:rPr>
          <w:b/>
        </w:rPr>
        <w:t xml:space="preserve">Ergebnis: </w:t>
      </w:r>
      <w:r>
        <w:t>Maladaptive Bewältigung: OR 1,06 für Rückfall in 12 Monaten (95% KI 1,00–1,12), OR 1,07 für Halluzinationen, OR 1,07 für Wahn. Adaptive Bewältigung OR 0,96 für Halluzinationen, OR 0,95 für Wahn. Machine-Learning zeigte maladaptive Bewältigung als stärkster Prädiktor (AUC 0,770).</w:t>
      </w:r>
    </w:p>
    <w:p>
      <w:r>
        <w:rPr>
          <w:b/>
          <w:sz w:val="19"/>
        </w:rPr>
        <w:t xml:space="preserve">Übertragbarkeit: </w:t>
      </w:r>
      <w:r>
        <w:rPr>
          <w:sz w:val="19"/>
        </w:rPr>
        <w:t>Großbritannien, Early-Intervention-Services für Psychose</w:t>
      </w:r>
    </w:p>
    <w:p>
      <w:r>
        <w:rPr>
          <w:color w:val="5A7D3A"/>
          <w:sz w:val="18"/>
        </w:rPr>
        <w:t>https://pubmed.ncbi.nlm.nih.gov/42636462/</w:t>
      </w:r>
    </w:p>
    <w:p>
      <w:pPr>
        <w:pStyle w:val="Heading1"/>
      </w:pPr>
      <w:r>
        <w:t>Aufgenommen am 25.08.2026</w:t>
      </w:r>
    </w:p>
    <w:p>
      <w:pPr>
        <w:pStyle w:val="Heading2"/>
      </w:pPr>
      <w:r>
        <w:t>73% der Todesfälle nach psychosozialer Meldung: Früherkennung und Koordination unzureichend</w:t>
      </w:r>
    </w:p>
    <w:p>
      <w:r>
        <w:rPr>
          <w:i/>
          <w:color w:val="666666"/>
          <w:sz w:val="18"/>
        </w:rPr>
        <w:t>Tromp E et al.  ·  Ned Tijdschr Geneeskd  ·  13.08.2026  ·  PMID 42614038</w:t>
      </w:r>
    </w:p>
    <w:p>
      <w:r>
        <w:t>Retrospektive Audit (17 Gemeinden Utrecht 2018–2024): Personen mit öffentlicher psychosozialer Meldung (n=7.172) und nachfolgende forensische Leichenöffnung (n=155).</w:t>
      </w:r>
    </w:p>
    <w:p>
      <w:r>
        <w:rPr>
          <w:b/>
        </w:rPr>
        <w:t xml:space="preserve">Ergebnis: </w:t>
      </w:r>
      <w:r>
        <w:t>73% bereits bei Meldung in einer oder mehreren Diensten bekannt; 33% mit wiederholten Meldungen. 70% der später verstorbenen starben innerhalb eines Jahres nach letzter Meldung, überwiegend nicht-natürliche Ursachen. Psychiatrische Probleme 70% der Meldungen.</w:t>
      </w:r>
    </w:p>
    <w:p>
      <w:r>
        <w:rPr>
          <w:b/>
          <w:sz w:val="19"/>
        </w:rPr>
        <w:t xml:space="preserve">Übertragbarkeit: </w:t>
      </w:r>
      <w:r>
        <w:rPr>
          <w:sz w:val="19"/>
        </w:rPr>
        <w:t>Niederlande (öffentliche Gesundheit), vergleichbar Deutschland; Prävention und Koordination in Schnittstellen zentral.</w:t>
      </w:r>
    </w:p>
    <w:p>
      <w:r>
        <w:rPr>
          <w:color w:val="5A7D3A"/>
          <w:sz w:val="18"/>
        </w:rPr>
        <w:t>https://pubmed.ncbi.nlm.nih.gov/42614038/</w:t>
      </w:r>
    </w:p>
    <w:p>
      <w:pPr>
        <w:pStyle w:val="Heading2"/>
      </w:pPr>
      <w:r>
        <w:t>Peer Support in Krisendiensten reduziert Eskalation und erhöht Sicherheit</w:t>
      </w:r>
    </w:p>
    <w:p>
      <w:r>
        <w:rPr>
          <w:i/>
          <w:color w:val="666666"/>
          <w:sz w:val="18"/>
        </w:rPr>
        <w:t>Oeltjen LK et al.  ·  BMC Health Serv Res  ·  11.08.2026  ·  PMID 42608682</w:t>
      </w:r>
    </w:p>
    <w:p>
      <w:r>
        <w:t>Qualitative Studie mit 25 Personen, die Kriseneinsätze erlebt haben (mobil oder ambulant), zur Erfahrung von Krisenintervention mit und ohne Genesungsbegleiter.</w:t>
      </w:r>
    </w:p>
    <w:p>
      <w:r>
        <w:rPr>
          <w:b/>
        </w:rPr>
        <w:t xml:space="preserve">Ergebnis: </w:t>
      </w:r>
      <w:r>
        <w:t>Empathisches Zuhören, ruhige Kommunikation und transparente Erklärungen wurden als unterstützend beschrieben. Genesungsbegleiter wurden überwiegend positiv wahrgenommen – ihre gelebte Erfahrung vermittelte Authentizität und Hoffnung. Polizeieinsätze waren ambivalent: teils beruhigend, teils eskalierend.</w:t>
      </w:r>
    </w:p>
    <w:p>
      <w:r>
        <w:rPr>
          <w:b/>
          <w:sz w:val="19"/>
        </w:rPr>
        <w:t xml:space="preserve">Übertragbarkeit: </w:t>
      </w:r>
      <w:r>
        <w:rPr>
          <w:sz w:val="19"/>
        </w:rPr>
        <w:t>Deutsche Krisendienste (Ländersache), ähnliche Struktur Bremen; Kostenträger Bundeszuschuss/Länder.</w:t>
      </w:r>
    </w:p>
    <w:p>
      <w:r>
        <w:rPr>
          <w:color w:val="5A7D3A"/>
          <w:sz w:val="18"/>
        </w:rPr>
        <w:t>https://pubmed.ncbi.nlm.nih.gov/42608682/</w:t>
      </w:r>
    </w:p>
    <w:p>
      <w:pPr>
        <w:pStyle w:val="Heading2"/>
      </w:pPr>
      <w:r>
        <w:t>Migrantinnen und Migranten: 59% weniger Früherkennung perinataler Erkrankungen</w:t>
      </w:r>
    </w:p>
    <w:p>
      <w:r>
        <w:rPr>
          <w:i/>
          <w:color w:val="666666"/>
          <w:sz w:val="18"/>
        </w:rPr>
        <w:t>Kovacs R et al.  ·  BMJ Open  ·  17.08.2026  ·  PMID 42608046</w:t>
      </w:r>
    </w:p>
    <w:p>
      <w:r>
        <w:t>Populationsbasierte Kohorte (404.043 Mütter, 391.068 Väter) zur Ungleichheit in Früherkennung, Behandlung und Zeitverzögerung bei perinatalen Erkrankungen nach Migrationsstatus in Schweden.</w:t>
      </w:r>
    </w:p>
    <w:p>
      <w:r>
        <w:rPr>
          <w:b/>
        </w:rPr>
        <w:t xml:space="preserve">Ergebnis: </w:t>
      </w:r>
      <w:r>
        <w:t>Bei außernordisch geborenen Eltern: Erkennung 5,3 Prozentpunkte niedriger für Mütter (59% unter Baseline 9,0%), 2,5 Punkte für Väter (48% unter 5,2%). Bei Diagnose: 12,1 Punkte weniger Behandlung bei Müttern, 7,6 bei Vätern. Zeitverzögerung Diagnose–Behandlung klein.</w:t>
      </w:r>
    </w:p>
    <w:p>
      <w:r>
        <w:rPr>
          <w:b/>
          <w:sz w:val="19"/>
        </w:rPr>
        <w:t xml:space="preserve">Übertragbarkeit: </w:t>
      </w:r>
      <w:r>
        <w:rPr>
          <w:sz w:val="19"/>
        </w:rPr>
        <w:t>Schweden (Sozialversicherung), vergleichbar deutsches Versicherungssystem; Datenproblem auch in Deutschland.</w:t>
      </w:r>
    </w:p>
    <w:p>
      <w:r>
        <w:rPr>
          <w:color w:val="5A7D3A"/>
          <w:sz w:val="18"/>
        </w:rPr>
        <w:t>https://pubmed.ncbi.nlm.nih.gov/42608046/</w:t>
      </w:r>
    </w:p>
    <w:p>
      <w:pPr>
        <w:pStyle w:val="Heading2"/>
      </w:pPr>
      <w:r>
        <w:t>Frühe Schulprobleme: Kleine Reduktion späteren Angst- und Depressionsrisikos</w:t>
      </w:r>
    </w:p>
    <w:p>
      <w:r>
        <w:rPr>
          <w:i/>
          <w:color w:val="666666"/>
          <w:sz w:val="18"/>
        </w:rPr>
        <w:t>Stannard S et al.  ·  BMJ Open  ·  14.08.2026  ·  PMID 42601093</w:t>
      </w:r>
    </w:p>
    <w:p>
      <w:r>
        <w:t>Populationsbasierte Datenverknüpfung (236.165 Jungen, 224.462 Mädchen) in Wales: Wirkung hypothetischer Interventionen (Sure Start + kostenlose Schulmahlzeiten) auf Angst/Depression im Alter 13–18.</w:t>
      </w:r>
    </w:p>
    <w:p>
      <w:r>
        <w:rPr>
          <w:b/>
        </w:rPr>
        <w:t xml:space="preserve">Ergebnis: </w:t>
      </w:r>
      <w:r>
        <w:t>2,8% der Jungen und 7,2% der Mädchen mit Angstdiagnose; 2,7% und 6,4% mit Depression. Schulische Benachteiligung (Leistung, Fehlzeiten, Ausschluss) assoziiert mit höherem Angst-/Depressionsrisiko. Hypothetische kombinierte Intervention: 0,6–1,6% absolute Reduktion Angst (Jungen), 0,3–0,5% (Mädchen); 0,4% Depression (Mädchen).</w:t>
      </w:r>
    </w:p>
    <w:p>
      <w:r>
        <w:rPr>
          <w:b/>
          <w:sz w:val="19"/>
        </w:rPr>
        <w:t xml:space="preserve">Übertragbarkeit: </w:t>
      </w:r>
      <w:r>
        <w:rPr>
          <w:sz w:val="19"/>
        </w:rPr>
        <w:t>Wales, vergleichbar Deutschland; public data linkage wie SAIL nicht vorhanden.</w:t>
      </w:r>
    </w:p>
    <w:p>
      <w:r>
        <w:rPr>
          <w:color w:val="5A7D3A"/>
          <w:sz w:val="18"/>
        </w:rPr>
        <w:t>https://pubmed.ncbi.nlm.nih.gov/42601093/</w:t>
      </w:r>
    </w:p>
    <w:p>
      <w:pPr>
        <w:pStyle w:val="Heading2"/>
      </w:pPr>
      <w:r>
        <w:t>Person-zentrierte Gruppe fördert Recovery: Belonging, Hoffnung, Empowerment</w:t>
      </w:r>
    </w:p>
    <w:p>
      <w:r>
        <w:rPr>
          <w:i/>
          <w:color w:val="666666"/>
          <w:sz w:val="18"/>
        </w:rPr>
        <w:t>Hostrup KL et al.  ·  Int J Ment Health Nurs  ·  Aug. 2026  ·  PMID 42591019</w:t>
      </w:r>
    </w:p>
    <w:p>
      <w:r>
        <w:t>Qualitative Längsschnittstudie (n=17, 12-Wochen-Intervention Discovery + Guided Self-Determination, Interviews post und 3 Monate später) zur Wirkung auf Recovery-Prozess.</w:t>
      </w:r>
    </w:p>
    <w:p>
      <w:r>
        <w:rPr>
          <w:b/>
        </w:rPr>
        <w:t xml:space="preserve">Ergebnis: </w:t>
      </w:r>
      <w:r>
        <w:t>Intervention förderte persönliche Recovery über alle CHIME-Kategorien (Connectedness, Hope, Identity, Meaning, Empowerment). Peers vermittelten Zugehörigkeitsgefühl, Vertrauen, gegenseitiges Verständnis. Offenheit über psychische Erkrankung stieg. Dauerhafter Effekt nur mit weiterer professioneller Unterstützung.</w:t>
      </w:r>
    </w:p>
    <w:p>
      <w:r>
        <w:rPr>
          <w:b/>
          <w:sz w:val="19"/>
        </w:rPr>
        <w:t xml:space="preserve">Übertragbarkeit: </w:t>
      </w:r>
      <w:r>
        <w:rPr>
          <w:sz w:val="19"/>
        </w:rPr>
        <w:t>Dänemark (Region Nord), ähnliche Versorgungsstruktur; Peer-Support Teil Recovery-Modelle.</w:t>
      </w:r>
    </w:p>
    <w:p>
      <w:r>
        <w:rPr>
          <w:color w:val="5A7D3A"/>
          <w:sz w:val="18"/>
        </w:rPr>
        <w:t>https://pubmed.ncbi.nlm.nih.gov/42591019/</w:t>
      </w:r>
    </w:p>
    <w:p>
      <w:pPr>
        <w:pStyle w:val="Heading2"/>
      </w:pPr>
      <w:r>
        <w:t>Sprachbarrieren und Kulturkompetenz hindern ethnische Minderheiten an Neurodevelopmental-Diagnostik</w:t>
      </w:r>
    </w:p>
    <w:p>
      <w:r>
        <w:rPr>
          <w:i/>
          <w:color w:val="666666"/>
          <w:sz w:val="18"/>
        </w:rPr>
        <w:t>Cooper SE et al.  ·  BMJ Ment Health  ·  11.08.2026  ·  PMID 42580809</w:t>
      </w:r>
    </w:p>
    <w:p>
      <w:r>
        <w:t>Mixed-Methods-Studie (n=264 Online-Befragung, 9 Fokusgruppen) zu Hürden beim Zugang zu ADHS/Autismus-Diagnostik für ethnische Minderheiten aus Sicht von 264 Fachpersonen in England.</w:t>
      </w:r>
    </w:p>
    <w:p>
      <w:r>
        <w:rPr>
          <w:b/>
        </w:rPr>
        <w:t xml:space="preserve">Ergebnis: </w:t>
      </w:r>
      <w:r>
        <w:t>Vier Barrieren identifiziert: (1) Sprache und Verständnisprobleme, (2) fragmentierte Pfade und digitale Hürden, (3) begrenzte Elternkenntnis, (4) kulturelle Normen und Stigma. Unbewusste Vorurteile beeinflussen Überweisungsentscheidungen. Strategien: kulturell angepasste Kommunikation, Community-Engagement, flexible Assessment.</w:t>
      </w:r>
    </w:p>
    <w:p>
      <w:r>
        <w:rPr>
          <w:b/>
          <w:sz w:val="19"/>
        </w:rPr>
        <w:t xml:space="preserve">Übertragbarkeit: </w:t>
      </w:r>
      <w:r>
        <w:rPr>
          <w:sz w:val="19"/>
        </w:rPr>
        <w:t>England (NHS), ähnliche Struktur Deutschland; Kostenträger GKV, Zugang durch niedergelassene und ambulante Psychiater.</w:t>
      </w:r>
    </w:p>
    <w:p>
      <w:r>
        <w:rPr>
          <w:color w:val="5A7D3A"/>
          <w:sz w:val="18"/>
        </w:rPr>
        <w:t>https://pubmed.ncbi.nlm.nih.gov/42580809/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Psychische Gesundheit</dc:title>
  <dc:subject/>
  <dc:creator>Monitor Versorgungsforschung</dc:creator>
  <cp:keywords/>
  <dc:description>generated by python-docx</dc:description>
  <cp:lastModifiedBy/>
  <cp:revision>1</cp:revision>
  <dcterms:created xsi:type="dcterms:W3CDTF">2026-08-29T06:00:00Z</dcterms:created>
  <dcterms:modified xsi:type="dcterms:W3CDTF">2026-08-29T06:00:00Z</dcterms:modified>
  <cp:category/>
</cp:coreProperties>
</file>