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21.09.2026  |  6 Studien  |  mental.m-vf.de</w:t>
      </w:r>
    </w:p>
    <w:p>
      <w:pPr>
        <w:pStyle w:val="Heading1"/>
      </w:pPr>
      <w:r>
        <w:t>Aufgenommen am 21.09.2026</w:t>
      </w:r>
    </w:p>
    <w:p>
      <w:pPr>
        <w:pStyle w:val="Heading2"/>
      </w:pPr>
      <w:r>
        <w:t>Virtual-Reality-Therapie überlegen gegenüber Kognitiver Verhaltenstherapie bei therapieresistenter Schizophrenie</w:t>
      </w:r>
    </w:p>
    <w:p>
      <w:r>
        <w:rPr>
          <w:i/>
          <w:color w:val="666666"/>
          <w:sz w:val="18"/>
        </w:rPr>
        <w:t>Beaudoin M et al.  ·  JMIR Ment Health  ·  16.09.2026  ·  PMID 42748056</w:t>
      </w:r>
    </w:p>
    <w:p>
      <w:r>
        <w:t>Randomisierte kontrollierte Studie an 136 kanadischen Patienten mit therapieresistenter Schizophrenie verglich 9 Sitzungen Virtual-Reality-Therapie gegen 9 Sitzungen CBT zur Behandlung von Stimmenhören.</w:t>
      </w:r>
    </w:p>
    <w:p>
      <w:r>
        <w:rPr>
          <w:b/>
        </w:rPr>
        <w:t xml:space="preserve">Ergebnis: </w:t>
      </w:r>
      <w:r>
        <w:t>VRT zeigte signifikante Überlegenheit für Halluzinations-Schweregrad über Zeit (p=0,013; Cohen d=0,614 in Monat 3). Beide Therapien produzierten Verbesserungen, aber VRT größere Effektstärken post-Therapie (0,81) und 3 Monate später (1,17) vs. CBT (0,58 und 0,39).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akademisches Zentrum; technologiebasierte Psychotherapie-Innovation mit Potential für spezialisierte Versorgung.</w:t>
      </w:r>
    </w:p>
    <w:p>
      <w:r>
        <w:rPr>
          <w:color w:val="5A7D3A"/>
          <w:sz w:val="18"/>
        </w:rPr>
        <w:t>https://pubmed.ncbi.nlm.nih.gov/42748056/</w:t>
      </w:r>
    </w:p>
    <w:p>
      <w:pPr>
        <w:pStyle w:val="Heading2"/>
      </w:pPr>
      <w:r>
        <w:t>Co-Design einer Delirium-Reha benennt Lücken bei Support Persons und Engagementbarrieren</w:t>
      </w:r>
    </w:p>
    <w:p>
      <w:r>
        <w:rPr>
          <w:i/>
          <w:color w:val="666666"/>
          <w:sz w:val="18"/>
        </w:rPr>
        <w:t>Tesfaye Y et al.  ·  Age Ageing  ·  04.09.2026  ·  PMID 42747823</w:t>
      </w:r>
    </w:p>
    <w:p>
      <w:r>
        <w:t>Qualitatives Feedback-Projekt mit 12 Fachleuten und 4 Patienten-Erfahrungen (Australien) zur strukturellen Verbesserung des HALT-Delirium-Reha-Programms vor Pilot.</w:t>
      </w:r>
    </w:p>
    <w:p>
      <w:r>
        <w:rPr>
          <w:b/>
        </w:rPr>
        <w:t xml:space="preserve">Ergebnis: </w:t>
      </w:r>
      <w:r>
        <w:t>Fünf Themen identifiziert: Personalisierung und erweiterte Unterstützung, Unterstützung von Angehörigen als essentiell, Vertrauensaufbau, Barrieren-Management und verständliches Material. Feedback führte zu flexibleren Modulen, Informationen für Unterstützer und Krankenhausvernetzung.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co-produktives Design; Methode auf deutschsprachige Rehabilitations-Programmentwicklung übertragbar.</w:t>
      </w:r>
    </w:p>
    <w:p>
      <w:r>
        <w:rPr>
          <w:color w:val="5A7D3A"/>
          <w:sz w:val="18"/>
        </w:rPr>
        <w:t>https://pubmed.ncbi.nlm.nih.gov/42747823/</w:t>
      </w:r>
    </w:p>
    <w:p>
      <w:pPr>
        <w:pStyle w:val="Heading2"/>
      </w:pPr>
      <w:r>
        <w:t>Patienten und Fachleute unterstützen Medikamenten-Behandlung von Stimulanzien-Störungen, nennen aber Stigma-Barrieren</w:t>
      </w:r>
    </w:p>
    <w:p>
      <w:r>
        <w:rPr>
          <w:i/>
          <w:color w:val="666666"/>
          <w:sz w:val="18"/>
        </w:rPr>
        <w:t>Vroom EB et al.  ·  Drug Alcohol Rev  ·  Sept. 2026  ·  PMID 42746733</w:t>
      </w:r>
    </w:p>
    <w:p>
      <w:r>
        <w:t>Qualitative Studie mit 20 Patienten und 20 SUD-Fachleuten (USA) untersuchte Akzeptanz, Barrieren und Anforderungen für Medikamente gegen Stimulanzien-Abhängigkeit.</w:t>
      </w:r>
    </w:p>
    <w:p>
      <w:r>
        <w:rPr>
          <w:b/>
        </w:rPr>
        <w:t xml:space="preserve">Ergebnis: </w:t>
      </w:r>
      <w:r>
        <w:t>Multilevel-Barrieren identifiziert, insbesondere Stigma auf Patient-, Team- und Systemebene. Empfehlungen: Provider-Training, Patient/Familie-Edukation, patientenzentrierte Versorgung und Adressierung sozialer Determinanten für besseres Engagment und Zugang.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real-world settings; Stigma-Barrieren und Implementation-Anforderungen sind länderübergreifend relevant.</w:t>
      </w:r>
    </w:p>
    <w:p>
      <w:r>
        <w:rPr>
          <w:color w:val="5A7D3A"/>
          <w:sz w:val="18"/>
        </w:rPr>
        <w:t>https://pubmed.ncbi.nlm.nih.gov/42746733/</w:t>
      </w:r>
    </w:p>
    <w:p>
      <w:pPr>
        <w:pStyle w:val="Heading2"/>
      </w:pPr>
      <w:r>
        <w:t>Digitale Tools zur Früherkennung perinatal-psychiatrischer Störungen zeigen positive Nutzererfahrung, aber fehlendes Wirksamkeitsnachweis</w:t>
      </w:r>
    </w:p>
    <w:p>
      <w:r>
        <w:rPr>
          <w:i/>
          <w:color w:val="666666"/>
          <w:sz w:val="18"/>
        </w:rPr>
        <w:t>Hafner S et al.  ·  Front Public Health  ·  01.09.2026  ·  PMID 42745737</w:t>
      </w:r>
    </w:p>
    <w:p>
      <w:r>
        <w:t>Systematischer Review (7 Studien) evaluierte Effektivität und Sicherheit digitaler Technologien zur Selbstidentifikation von Risiken perinataler psychischer Erkrankungen.</w:t>
      </w:r>
    </w:p>
    <w:p>
      <w:r>
        <w:rPr>
          <w:b/>
        </w:rPr>
        <w:t xml:space="preserve">Ergebnis: </w:t>
      </w:r>
      <w:r>
        <w:t>Nur eine Studie untersuchte Wirksamkeit (moderate Übereinstimmung mit Standard-Methoden, aber hohes Bias-Risiko). Alle sechs Nutzer-Studien zeigten positive Erfahrung. Keine Daten zu Organisationsfaktoren oder rechtlichen Hürden. Schlussfolgerung: mehr qualitativ hochwertige Wirksamkeits- und Sicherheitsforschung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Österreich/Europa, Gesundheitstechnologie-Assessment; Implementierungs-Hürden für perinatale Früherkennung in deutschsprachigen Systemen relevant.</w:t>
      </w:r>
    </w:p>
    <w:p>
      <w:r>
        <w:rPr>
          <w:color w:val="5A7D3A"/>
          <w:sz w:val="18"/>
        </w:rPr>
        <w:t>https://pubmed.ncbi.nlm.nih.gov/42745737/</w:t>
      </w:r>
    </w:p>
    <w:p>
      <w:pPr>
        <w:pStyle w:val="Heading2"/>
      </w:pPr>
      <w:r>
        <w:t>Smartphone-Datenphänotypen unterscheiden alltägliche Lebensstile und positive Funktionsfähigkeit</w:t>
      </w:r>
    </w:p>
    <w:p>
      <w:r>
        <w:rPr>
          <w:i/>
          <w:color w:val="666666"/>
          <w:sz w:val="18"/>
        </w:rPr>
        <w:t>Zhu N et al.  ·  J Med Internet Res  ·  14.09.2026  ·  PMID 42735384</w:t>
      </w:r>
    </w:p>
    <w:p>
      <w:r>
        <w:t>Studie an 553 deutschen Erwachsenen untersuchte, ob passive Smartphone-Sensordaten Lebensstil-Profile abbilden, die mit psychischem Wohlbefinden assoziiert sind.</w:t>
      </w:r>
    </w:p>
    <w:p>
      <w:r>
        <w:rPr>
          <w:b/>
        </w:rPr>
        <w:t xml:space="preserve">Ergebnis: </w:t>
      </w:r>
      <w:r>
        <w:t>Sieben Person-Level-Profile identifiziert; das physisch aktive und offline-Profil zeigte höhere positive Funktionsfähigkeit als das mobile Always-on-Social-Profil (3,94 vs. 3,61; d=0,47, 95%-KI 0,21–0,73). Andere Wohlbefinden-Dimensionen unterschieden sich nicht signifikant zwischen Profilen.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repräsentative Quotenstichprobe; direkt auf deutsche Bevölkerungsmonitoringdaten übertragbar.</w:t>
      </w:r>
    </w:p>
    <w:p>
      <w:r>
        <w:rPr>
          <w:color w:val="5A7D3A"/>
          <w:sz w:val="18"/>
        </w:rPr>
        <w:t>https://pubmed.ncbi.nlm.nih.gov/42735384/</w:t>
      </w:r>
    </w:p>
    <w:p>
      <w:pPr>
        <w:pStyle w:val="Heading2"/>
      </w:pPr>
      <w:r>
        <w:t>Geschlechtsspezifische Endocannabinoid-Biomarker zeigen keine Vorhersage des Therapieansprechens auf Antidepressiva</w:t>
      </w:r>
    </w:p>
    <w:p>
      <w:r>
        <w:rPr>
          <w:i/>
          <w:color w:val="666666"/>
          <w:sz w:val="18"/>
        </w:rPr>
        <w:t>Sorkhou M et al.  ·  Eur Arch Psychiatry Clin Neurosci  ·  25.08.2026  ·  PMID 42640306</w:t>
      </w:r>
    </w:p>
    <w:p>
      <w:r>
        <w:t>Sekundäranalyse von 178 Depressiven aus der CAN-BIND-1-Studie (Kanada) untersuchte, ob periphere Endocannabinoid-Marker Antidepressiva-Ansprechen (Escitalopram ± Aripiprazol) nach 8 und 16 Wochen vorhersagen.</w:t>
      </w:r>
    </w:p>
    <w:p>
      <w:r>
        <w:rPr>
          <w:b/>
        </w:rPr>
        <w:t xml:space="preserve">Ergebnis: </w:t>
      </w:r>
      <w:r>
        <w:t>Keine signifikanten Geschlechtsunterschiede in mRNA, Methylierung oder SNPs nach Korrektur. Niedrige DAGLA-mRNA bei Männern war mit größerer Symptomverbesserung in Woche 8 assoziiert, aber nicht bei Frauen und nicht mit Ansprechen oder Remission.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vergleichbare Sozialversicherung; Ergebnis auf biologische Heterogenität übertragbar.</w:t>
      </w:r>
    </w:p>
    <w:p>
      <w:r>
        <w:rPr>
          <w:color w:val="5A7D3A"/>
          <w:sz w:val="18"/>
        </w:rPr>
        <w:t>https://pubmed.ncbi.nlm.nih.gov/42640306/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2026-09-21T06:00:00Z</dcterms:created>
  <dcterms:modified xsi:type="dcterms:W3CDTF">2026-09-21T06:00:00Z</dcterms:modified>
  <cp:category/>
</cp:coreProperties>
</file>