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28.09.2026  |  7 Studien  |  mental.m-vf.de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App-Nutzung bei psychischer Belastung junger Frauen: Barrieren und Chancen</w:t>
      </w:r>
    </w:p>
    <w:p>
      <w:r>
        <w:rPr>
          <w:i/>
          <w:color w:val="666666"/>
          <w:sz w:val="18"/>
        </w:rPr>
        <w:t>Schröder J et al.  ·  BMC Womens Health  ·  26.09.2026  ·  PMID 42800862</w:t>
      </w:r>
    </w:p>
    <w:p>
      <w:r>
        <w:t>Querschnittsstudie mit 521 Frauen (18–35 Jahre) zur Verbreitung von Mental-Health-Apps, ihren Barrieren und den Merkmalen, die Nutzerinnen als professionell und hilfreich bewerten.</w:t>
      </w:r>
    </w:p>
    <w:p>
      <w:r>
        <w:rPr>
          <w:b/>
        </w:rPr>
        <w:t xml:space="preserve">Ergebnis: </w:t>
      </w:r>
      <w:r>
        <w:t>79% berichteten Müdigkeit, 79% Sorge und 74% Anspannung. 31% hatten je eine App genutzt. Hauptbarrieren: mangelndes Wissen (32,5%), Wirksamkeitsbedenken (9,8%), Kosten (9,6%). Psychische Belastung (OR=1,03 [1,01–1,06], p=0,012) und Angst/Appetitprobleme (ORs 1,95–1,99, p≤0,004) waren mit Nutzung assoziiert. Nutzerinnen fordern Benutzerfreundlichkeit, Sicherheit und technische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Versorgungslandschaft und digitale Infrastruktur.</w:t>
      </w:r>
    </w:p>
    <w:p>
      <w:r>
        <w:rPr>
          <w:color w:val="5A7D3A"/>
          <w:sz w:val="18"/>
        </w:rPr>
        <w:t>https://pubmed.ncbi.nlm.nih.gov/42800862/</w:t>
      </w:r>
    </w:p>
    <w:p>
      <w:pPr>
        <w:pStyle w:val="Heading2"/>
      </w:pPr>
      <w:r>
        <w:t>CPAP-Adhärenz bei komorbider Insomnie und Schlafapnoe: qualitative Verhaltensanalyse</w:t>
      </w:r>
    </w:p>
    <w:p>
      <w:r>
        <w:rPr>
          <w:i/>
          <w:color w:val="666666"/>
          <w:sz w:val="18"/>
        </w:rPr>
        <w:t>Wang Y et al.  ·  BMC Pulm Med  ·  07.09.2026  ·  PMID 42800860</w:t>
      </w:r>
    </w:p>
    <w:p>
      <w:r>
        <w:t>Qualitative Studie (16 Patienten) mit COM-B-Modell zu CPAP-Nutzung und Verhaltensänderungen bei komorbider Insomnie und Schlafapnoe in China; Interviews und thematische Analyse.</w:t>
      </w:r>
    </w:p>
    <w:p>
      <w:r>
        <w:rPr>
          <w:b/>
        </w:rPr>
        <w:t xml:space="preserve">Ergebnis: </w:t>
      </w:r>
      <w:r>
        <w:t>Motivation erklärte größten Anteil der Barrieren (589 Codierungsanker). Drei zentrale Muster: "Insomnie-Dominanz" (Patienten priorisieren Insomnie vor Apnoe), fixierte Kausalattributionen (Ausschluss bestimmter Behandlungen) und Stigma-Identitäts-Komplex. "Adhärenz-Illusion": Inpatient*innen mit guter CPAP-Adhärenz zeigten keine internalisierte Motivation für Selbstmanagement nach Entlassung. Kulturelle Barrieren (Bangett-Trink-Normen, Todesängstlichkeit).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COM-B-basierte Analyse von Verhaltensbarrieren, struktur- und kulturabhängig.</w:t>
      </w:r>
    </w:p>
    <w:p>
      <w:r>
        <w:rPr>
          <w:color w:val="5A7D3A"/>
          <w:sz w:val="18"/>
        </w:rPr>
        <w:t>https://pubmed.ncbi.nlm.nih.gov/42800860/</w:t>
      </w:r>
    </w:p>
    <w:p>
      <w:pPr>
        <w:pStyle w:val="Heading2"/>
      </w:pPr>
      <w:r>
        <w:t>Versorgungslücken bei Kindern und Jugendlichen mit Autismus-Spektrum-Störung</w:t>
      </w:r>
    </w:p>
    <w:p>
      <w:r>
        <w:rPr>
          <w:i/>
          <w:color w:val="666666"/>
          <w:sz w:val="18"/>
        </w:rPr>
        <w:t>Han X et al.  ·  Front Public Health  ·  11.09.2026  ·  PMID 42799165</w:t>
      </w:r>
    </w:p>
    <w:p>
      <w:r>
        <w:t>Narrative Übersichtsarbeit zu Versorgungspfaden, Zugang und psychosozialen Unterstützungsbedarfen bei Kindern und Jugendlichen mit Autismus-Spektrum-Störung mit Fokus auf Schnittstellen zwischen Gesundheit, Bildung und Sozialhilfe.</w:t>
      </w:r>
    </w:p>
    <w:p>
      <w:r>
        <w:rPr>
          <w:b/>
        </w:rPr>
        <w:t xml:space="preserve">Ergebnis: </w:t>
      </w:r>
      <w:r>
        <w:t>Verzögerungen bei Erkennung und Zuweisung, lange Wartezeiten, Personalknappheit und räumliche/sozioökonomische Disparitäten sind zentrale Barrieren. Familien berichten Schwierigkeiten bei der Navigation komplexer Systeme; Schulen sind gleichzeitig Hauptort der Unterstützung und Hauptquelle unerfüllter Bedürfnisse. Verbesserungen erfordern frühere Erkennung, gleichberechtigteren Zugang, bessere Koordination über Sektoren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strukturelle Befunde zur Versorgungsfragmentierung übertragbar.</w:t>
      </w:r>
    </w:p>
    <w:p>
      <w:r>
        <w:rPr>
          <w:color w:val="5A7D3A"/>
          <w:sz w:val="18"/>
        </w:rPr>
        <w:t>https://pubmed.ncbi.nlm.nih.gov/42799165/</w:t>
      </w:r>
    </w:p>
    <w:p>
      <w:pPr>
        <w:pStyle w:val="Heading2"/>
      </w:pPr>
      <w:r>
        <w:t>Psychosoziale Intervention in der Gefängnispsychiatrie: Stimmungsmodulation bei Frauen</w:t>
      </w:r>
    </w:p>
    <w:p>
      <w:r>
        <w:rPr>
          <w:i/>
          <w:color w:val="666666"/>
          <w:sz w:val="18"/>
        </w:rPr>
        <w:t>Carvalho MTVF et al.  ·  Rev Bras Enferm  ·  18.09.2026  ·  PMID 42788571</w:t>
      </w:r>
    </w:p>
    <w:p>
      <w:r>
        <w:t>Pilot-Studie (n=12 Frauen) zur Wirksamkeit eines psychosozialen Interventionsprotokolls durch Pflegekräfte in einer Frauenhaftanstalt; Prä-Post-Design mit Common-Mental-Disorder- und Stimmungsmaßen.</w:t>
      </w:r>
    </w:p>
    <w:p>
      <w:r>
        <w:rPr>
          <w:b/>
        </w:rPr>
        <w:t xml:space="preserve">Ergebnis: </w:t>
      </w:r>
      <w:r>
        <w:t>9 Frauen vervollständigten Programm. Verbesserungen in allen Stimmungs-Domänen dokumentiert, besonders in Depression und Anspannung. Bei Common-Mental-Disorders: Reduktion beschreibender Symptome ohne statistische Signifikanz (p&gt;0,05). Intervention suggeriert nicht-pharmakologische therapeutische Option für Strafvollzug.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externe Validierbarkeit begrenzt, konzeptueller Transfer zur Gefängnispsychiatrie.</w:t>
      </w:r>
    </w:p>
    <w:p>
      <w:r>
        <w:rPr>
          <w:color w:val="5A7D3A"/>
          <w:sz w:val="18"/>
        </w:rPr>
        <w:t>https://pubmed.ncbi.nlm.nih.gov/42788571/</w:t>
      </w:r>
    </w:p>
    <w:p>
      <w:pPr>
        <w:pStyle w:val="Heading2"/>
      </w:pPr>
      <w:r>
        <w:t>Langzeitpsychodynamische Psychotherapie für Depression: Metaanalyse von RCTs</w:t>
      </w:r>
    </w:p>
    <w:p>
      <w:r>
        <w:rPr>
          <w:i/>
          <w:color w:val="666666"/>
          <w:sz w:val="18"/>
        </w:rPr>
        <w:t>Moser M et al.  ·  Depress Anxiety  ·  23.09.2026  ·  PMID 42787645</w:t>
      </w:r>
    </w:p>
    <w:p>
      <w:r>
        <w:t>Präregistrierte Metaanalyse (16 RCTs, 1992 Teilnehmer) zur Wirksamkeit langzeitpsychodynamischer Psychotherapie (≥9 Monate, ≥30 Sitzungen) bei Depression mit GRADE-Bewertung und empirically supported treatment (EST) Kriterien.</w:t>
      </w:r>
    </w:p>
    <w:p>
      <w:r>
        <w:rPr>
          <w:b/>
        </w:rPr>
        <w:t xml:space="preserve">Ergebnis: </w:t>
      </w:r>
      <w:r>
        <w:t>LTPP zeigte signifikante Reduktion depressiver Symptome vs. alle Komparatoren (SMD=0,34 [0,20–0,47]) und vs. aktive Behandlungen (SMD=0,27 [0,1–0,45]). Effekte bei Nachverfolgung erhalten. GRADE: Hochwertige Evidenz für Symptomreduktion (alle Studien), moderatwertig vs. aktive Behandlungen. EST-Kriterien: Starke Empfehlung für LTPP. Limitationen: wenig Evidenz zu Funktionsergebnissen, ökonomischem Impact, Langzeitwirkung.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Europa/UK, Psychotherapie-Wirksamkeit, Übertragbarkeit auf deutsche Richtlinienpsychotherapie begrenzt.</w:t>
      </w:r>
    </w:p>
    <w:p>
      <w:r>
        <w:rPr>
          <w:color w:val="5A7D3A"/>
          <w:sz w:val="18"/>
        </w:rPr>
        <w:t>https://pubmed.ncbi.nlm.nih.gov/42787645/</w:t>
      </w:r>
    </w:p>
    <w:p>
      <w:pPr>
        <w:pStyle w:val="Heading2"/>
      </w:pPr>
      <w:r>
        <w:t>Betreuungsübergänge bei Substanzstörungen aus Krankenhäusern: IntACT Pilot-RCT</w:t>
      </w:r>
    </w:p>
    <w:p>
      <w:r>
        <w:rPr>
          <w:i/>
          <w:color w:val="666666"/>
          <w:sz w:val="18"/>
        </w:rPr>
        <w:t>Incze MA et al.  ·  PLoS One  ·  24.09.2026  ·  PMID 42784550</w:t>
      </w:r>
    </w:p>
    <w:p>
      <w:r>
        <w:t>Protokoll einer Einzelzentrum-RCT mit 75 hospitalisierten Patienten mit Substanzstörung zur Machbarkeit eines Interdisciplinary Addiction Care Transition (IntACT) Teams; mixed-methods Evaluierung von Implementierung und Effektivität über 6 Monate.</w:t>
      </w:r>
    </w:p>
    <w:p>
      <w:r>
        <w:rPr>
          <w:b/>
        </w:rPr>
        <w:t xml:space="preserve">Ergebnis: </w:t>
      </w:r>
      <w:r>
        <w:t>Studie läuft: 75 Patienten zur Randomisierung eingeplant (IntACT vs. Usual Care). Primäre Outcomes: Implementierungsmaße (Reichweite, Akzeptanz, Machbarkeit, Kosten) und Effektivität (Linkage und Retention in Folgebehandlung). Sekundär: Zeit bis erste Folgevisite, Substanzgebrauchsmuster, Notfallnutzung. 20 Kliniker eingeschlossen zur Beurteilung Machbarkeit/Akzeptanz.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Schnittstelle Krankenhaus–ambulant, Konzept zur Versorgungskontinuität übertragbar.</w:t>
      </w:r>
    </w:p>
    <w:p>
      <w:r>
        <w:rPr>
          <w:color w:val="5A7D3A"/>
          <w:sz w:val="18"/>
        </w:rPr>
        <w:t>https://pubmed.ncbi.nlm.nih.gov/42784550/</w:t>
      </w:r>
    </w:p>
    <w:p>
      <w:pPr>
        <w:pStyle w:val="Heading2"/>
      </w:pPr>
      <w:r>
        <w:t>Polysubstanzgebrauch und Opioid-Use-Disorder: Epidemiologie und Interventionen</w:t>
      </w:r>
    </w:p>
    <w:p>
      <w:r>
        <w:rPr>
          <w:i/>
          <w:color w:val="666666"/>
          <w:sz w:val="18"/>
        </w:rPr>
        <w:t>Mandapati NK et al.  ·  Front Public Health  ·  09.09.2026  ·  PMID 42781535</w:t>
      </w:r>
    </w:p>
    <w:p>
      <w:r>
        <w:t>Strukturierte Literaturübersicht (2010–2026) zur veränderten Epidemiologie der Opioid-Use-Disorder durch synthetische Opioide, Fentanyl und Polysubstanzgebrauch sowie Auswirkungen auf Behandlungsstrategien.</w:t>
      </w:r>
    </w:p>
    <w:p>
      <w:r>
        <w:rPr>
          <w:b/>
        </w:rPr>
        <w:t xml:space="preserve">Ergebnis: </w:t>
      </w:r>
      <w:r>
        <w:t>Fentanyl-Dominanz, Stimulanzienzukonsum und neue Adulteranzien (Xylazin, Nitazene) prägen aktuelle Opioid-Märkte. Strukturelle Ungleichheiten (finanzielle Instabilität, begrenzte Therapiezugänge) verschärfen Überdosisrisiken. Erfolgreiche Strategien erfordern umfassende Politikmaßnahmen, erweiterte Schadensminderung und anpassungsfähige Surveillance-Systeme für schnelle Marktveränderungen.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Perspektive auf Schadensminderung und Systembarrieren relevant.</w:t>
      </w:r>
    </w:p>
    <w:p>
      <w:r>
        <w:rPr>
          <w:color w:val="5A7D3A"/>
          <w:sz w:val="18"/>
        </w:rPr>
        <w:t>https://pubmed.ncbi.nlm.nih.gov/42781535/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