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25.10.2026  |  372 Studien  |  mental.m-vf.de</w:t>
      </w:r>
    </w:p>
    <w:p>
      <w:pPr>
        <w:pStyle w:val="Heading1"/>
      </w:pPr>
      <w:r>
        <w:t>Aufgenommen am 25.10.2026</w:t>
      </w:r>
    </w:p>
    <w:p>
      <w:pPr>
        <w:pStyle w:val="Heading2"/>
      </w:pPr>
      <w:r>
        <w:t>Kumulative Lebenskrisen verkürzen psychische Gesundheit, stärker bei Frauen</w:t>
      </w:r>
    </w:p>
    <w:p>
      <w:r>
        <w:rPr>
          <w:i/>
          <w:color w:val="666666"/>
          <w:sz w:val="18"/>
        </w:rPr>
        <w:t>Hirch S  ·  BMC Public Health  ·  23.10.2026  ·  PMID 42920136</w:t>
      </w:r>
    </w:p>
    <w:p>
      <w:r>
        <w:t>Sekundäranalyse der English Longitudinal Study of Ageing (Wave 3) zu Zusammenhang zwischen Häufung ungünstiger Lebensereignisse über die Lebensspanne und depressiver Symptomatologie, Lebenszufriedenheit und Lebensqualität mit Fokus auf Geschlechtsunterschiede.</w:t>
      </w:r>
    </w:p>
    <w:p>
      <w:r>
        <w:rPr>
          <w:b/>
        </w:rPr>
        <w:t xml:space="preserve">Ergebnis: </w:t>
      </w:r>
      <w:r>
        <w:t>Kumulative Lebensereignisse sind signifikant mit höherer Depressionswahrscheinlichkeit, niedrigerer Lebenszufriedenheit und reduzierter Lebensqualität assoziiert. Frauen zeigen erhöhte Vulnerabilität für die Auswirkungen der Ereignisakkumulation (Interaktionseffekt für Gesamtscore nachgewiesen).</w:t>
      </w:r>
    </w:p>
    <w:p>
      <w:r>
        <w:rPr>
          <w:b/>
          <w:sz w:val="19"/>
        </w:rPr>
        <w:t xml:space="preserve">Übertragbarkeit: </w:t>
      </w:r>
      <w:r>
        <w:rPr>
          <w:sz w:val="19"/>
        </w:rPr>
        <w:t>Großbritannien; vergleichbare Gesellschaftsstruktur und Gesundheitssystem</w:t>
      </w:r>
    </w:p>
    <w:p>
      <w:r>
        <w:rPr>
          <w:color w:val="5A7D3A"/>
          <w:sz w:val="18"/>
        </w:rPr>
        <w:t>https://pubmed.ncbi.nlm.nih.gov/42920136/</w:t>
      </w:r>
    </w:p>
    <w:p>
      <w:pPr>
        <w:pStyle w:val="Heading2"/>
      </w:pPr>
      <w:r>
        <w:t>Dezentralisierte Demenzversorgung per Telemedizin erreichte 3.521 Sprechstunden</w:t>
      </w:r>
    </w:p>
    <w:p>
      <w:r>
        <w:rPr>
          <w:i/>
          <w:color w:val="666666"/>
          <w:sz w:val="18"/>
        </w:rPr>
        <w:t>Green H et al.  ·  Br J Nurs  ·  22.10.2026  ·  PMID 42912432</w:t>
      </w:r>
    </w:p>
    <w:p>
      <w:r>
        <w:t>Implementierungsbericht des nationalen britischen Projekts ‚Closer to Home', das Demenzspezialisten via mobiler/virtueller Klinik in die Nähe von Patienten bringt und die Erreichbarkeit spezialisierter Demenzversorgung verbessern soll.</w:t>
      </w:r>
    </w:p>
    <w:p>
      <w:r>
        <w:rPr>
          <w:b/>
        </w:rPr>
        <w:t xml:space="preserve">Ergebnis: </w:t>
      </w:r>
      <w:r>
        <w:t>Das Projekt stellte 3.521 Sprechstunden bereit (50% über Zielwert), erhielt positive Patientenbewertungen und führte zur Etablierung einer dauerhaften virtuellen Klinik sowie neuer Pop-up-Services mit adaptiertem Buchungssystem. Nachweislich übertragbar für Versorgungsgestaltung.</w:t>
      </w:r>
    </w:p>
    <w:p>
      <w:r>
        <w:rPr>
          <w:b/>
          <w:sz w:val="19"/>
        </w:rPr>
        <w:t xml:space="preserve">Übertragbarkeit: </w:t>
      </w:r>
      <w:r>
        <w:rPr>
          <w:sz w:val="19"/>
        </w:rPr>
        <w:t>Großbritannien; Modell der Spezialistenzentralisierung mit dezentralem Zugang relevant für deutsche Flächenländer</w:t>
      </w:r>
    </w:p>
    <w:p>
      <w:r>
        <w:rPr>
          <w:color w:val="5A7D3A"/>
          <w:sz w:val="18"/>
        </w:rPr>
        <w:t>https://pubmed.ncbi.nlm.nih.gov/42912432/</w:t>
      </w:r>
    </w:p>
    <w:p>
      <w:pPr>
        <w:pStyle w:val="Heading2"/>
      </w:pPr>
      <w:r>
        <w:t>Parent-basierte Angstbehandlung: Effekte von SPACE und CBT nach 12 Monaten stabil</w:t>
      </w:r>
    </w:p>
    <w:p>
      <w:r>
        <w:rPr>
          <w:i/>
          <w:color w:val="666666"/>
          <w:sz w:val="18"/>
        </w:rPr>
        <w:t>Etkin RG et al.  ·  J Consult Clin Psychol  ·  Sept. 2026  ·  PMID 42911791</w:t>
      </w:r>
    </w:p>
    <w:p>
      <w:r>
        <w:t>Randomisierte kontrollierte Nichtunterlegenheitsstudie mit 125 Mutter-Kind-Dyaden zu Aufrechterhaltung der Effekte nach parent-basierter Angstbehandlung (SPACE) vs. kognitiv-behavioraler Therapie (CBT) über 12 Monate Follow-up.</w:t>
      </w:r>
    </w:p>
    <w:p>
      <w:r>
        <w:rPr>
          <w:b/>
        </w:rPr>
        <w:t xml:space="preserve">Ergebnis: </w:t>
      </w:r>
      <w:r>
        <w:t>SPACE und CBT zeigten beide signifikante, stabile Reduktionen von Angststörung und Familienakkommodation bis 12 Monate. Nach Elternangabe waren Angststörungen bei SPACE geringer als CBT (posttreatment und 12-Monate). Erstmaliger Nachweis, dass SPACE-Gewinne über 1 Jahr aufrechterhalten bleiben, vergleichbar mit CBT.</w:t>
      </w:r>
    </w:p>
    <w:p>
      <w:r>
        <w:rPr>
          <w:b/>
          <w:sz w:val="19"/>
        </w:rPr>
        <w:t xml:space="preserve">Übertragbarkeit: </w:t>
      </w:r>
      <w:r>
        <w:rPr>
          <w:sz w:val="19"/>
        </w:rPr>
        <w:t>USA; RCT-Design, aber parent-based Ansatz relevant für deutsche Ambulanzpraxen und Kliniken</w:t>
      </w:r>
    </w:p>
    <w:p>
      <w:r>
        <w:rPr>
          <w:color w:val="5A7D3A"/>
          <w:sz w:val="18"/>
        </w:rPr>
        <w:t>https://pubmed.ncbi.nlm.nih.gov/42911791/</w:t>
      </w:r>
    </w:p>
    <w:p>
      <w:pPr>
        <w:pStyle w:val="Heading2"/>
      </w:pPr>
      <w:r>
        <w:t>Behavioral Activation für Adoleszenten: Wirksamkeit ungeklärt, Mechanismen unklar</w:t>
      </w:r>
    </w:p>
    <w:p>
      <w:r>
        <w:rPr>
          <w:i/>
          <w:color w:val="666666"/>
          <w:sz w:val="18"/>
        </w:rPr>
        <w:t>Haslam R et al.  ·  Psychol Med  ·  22.10.2026  ·  PMID 42910461</w:t>
      </w:r>
    </w:p>
    <w:p>
      <w:r>
        <w:t>Narrative Übersichtsarbeit zu Reward-Dysfunktion als Mechanismus jugendlicher Depression und Potential von Behavioral Activation (BA) als zielgerichtete Intervention, auf Basis neurowissenschaftlicher und klinischer Literatur.</w:t>
      </w:r>
    </w:p>
    <w:p>
      <w:r>
        <w:rPr>
          <w:b/>
        </w:rPr>
        <w:t xml:space="preserve">Ergebnis: </w:t>
      </w:r>
      <w:r>
        <w:t>Evidenz für Effektivität und Machbarkeit von BA bei Jugendlichen mit Depression nachgewiesen, aber Mechanismen noch unbekannt und Fragen zur optimalen Umsetzung ungeklärt. NICE forderte 2019 weitere Forschung. Spannung zwischen Neurowissenschaft und Praxiserfahrung bleibt offen.</w:t>
      </w:r>
    </w:p>
    <w:p>
      <w:r>
        <w:rPr>
          <w:b/>
          <w:sz w:val="19"/>
        </w:rPr>
        <w:t xml:space="preserve">Übertragbarkeit: </w:t>
      </w:r>
      <w:r>
        <w:rPr>
          <w:sz w:val="19"/>
        </w:rPr>
        <w:t>Schwerpunkt auf Literaturintegration; kein neuer RCT, Implikationen eher für Forschungsagenda</w:t>
      </w:r>
    </w:p>
    <w:p>
      <w:r>
        <w:rPr>
          <w:color w:val="5A7D3A"/>
          <w:sz w:val="18"/>
        </w:rPr>
        <w:t>https://pubmed.ncbi.nlm.nih.gov/42910461/</w:t>
      </w:r>
    </w:p>
    <w:p>
      <w:pPr>
        <w:pStyle w:val="Heading2"/>
      </w:pPr>
      <w:r>
        <w:t>Schulschießerei in Serbien: 85% der Eltern berichten Angst, nur 3,8% nutzen Hilfe</w:t>
      </w:r>
    </w:p>
    <w:p>
      <w:r>
        <w:rPr>
          <w:i/>
          <w:color w:val="666666"/>
          <w:sz w:val="18"/>
        </w:rPr>
        <w:t>Stankovic M et al.  ·  Front Public Health  ·  07.10.2026  ·  PMID 42910012</w:t>
      </w:r>
    </w:p>
    <w:p>
      <w:r>
        <w:t>Querschnittstudie mit 1.927 Eltern, die nicht direkt oder indirekt von der Schulschießerei 2023 in Serbien betroffen waren, zu deren Wahrnehmung eigener und kindlicher psychischer Gesundheit sowie Verhalten.</w:t>
      </w:r>
    </w:p>
    <w:p>
      <w:r>
        <w:rPr>
          <w:b/>
        </w:rPr>
        <w:t xml:space="preserve">Ergebnis: </w:t>
      </w:r>
      <w:r>
        <w:t>85,2% der Eltern berichten moderate bis hohe Angst um Kindersicherheit, 38,7% schwer mit Rückgang zur Schule, 48,0% mit intrusiven Gedanken. Pre-Schießerei-Diagnose-Rate 11,7%, aber formale MH-Dienste nur von 3,8% der Kinder und 2,9% der Eltern genutzt. Untererkannte Bedürfnisse, Bedarf für niedrigschwellig erreichbare, nicht-stigmatisierende schulische Psychoedukation statt nur formale Klinik.</w:t>
      </w:r>
    </w:p>
    <w:p>
      <w:r>
        <w:rPr>
          <w:b/>
          <w:sz w:val="19"/>
        </w:rPr>
        <w:t xml:space="preserve">Übertragbarkeit: </w:t>
      </w:r>
      <w:r>
        <w:rPr>
          <w:sz w:val="19"/>
        </w:rPr>
        <w:t>Serbien; Befund zur Unterversorgung trotz erkannter Belastung relevant für Krisenpräparation in Deutschland</w:t>
      </w:r>
    </w:p>
    <w:p>
      <w:r>
        <w:rPr>
          <w:color w:val="5A7D3A"/>
          <w:sz w:val="18"/>
        </w:rPr>
        <w:t>https://pubmed.ncbi.nlm.nih.gov/42910012/</w:t>
      </w:r>
    </w:p>
    <w:p>
      <w:pPr>
        <w:pStyle w:val="Heading2"/>
      </w:pPr>
      <w:r>
        <w:t>Prävention von Drogenkonsum: Jugendliche fordern frühe, entstigmatisierte Unterstützung</w:t>
      </w:r>
    </w:p>
    <w:p>
      <w:r>
        <w:rPr>
          <w:i/>
          <w:color w:val="666666"/>
          <w:sz w:val="18"/>
        </w:rPr>
        <w:t>Retzler C et al.  ·  Front Public Health  ·  06.10.2026  ·  PMID 42903179</w:t>
      </w:r>
    </w:p>
    <w:p>
      <w:r>
        <w:t>Qualitative Studie mit 97 Jugendlichen in sozioökonomisch benachteiligten britischen Regionen zu ihren Haltungen gegenüber Prävention und Barrieren beim Zugang zu Hilfe bei Substanzkonsum.</w:t>
      </w:r>
    </w:p>
    <w:p>
      <w:r>
        <w:rPr>
          <w:b/>
        </w:rPr>
        <w:t xml:space="preserve">Ergebnis: </w:t>
      </w:r>
      <w:r>
        <w:t>Jugendliche bevorzugen nicht-stigmatisierende, schadensminderungsorientierte Präventionsansätze, die früh ansetzen, Eltern einbeziehen und vertrauenswürdige Informationsquellen nutzen. Zentral ist die Vermeidung von Stigmatisierung und die Berücksichtigung sozialer sowie systemischer Faktoren.</w:t>
      </w:r>
    </w:p>
    <w:p>
      <w:r>
        <w:rPr>
          <w:b/>
          <w:sz w:val="19"/>
        </w:rPr>
        <w:t xml:space="preserve">Übertragbarkeit: </w:t>
      </w:r>
      <w:r>
        <w:rPr>
          <w:sz w:val="19"/>
        </w:rPr>
        <w:t>Großbritannien; Implikationen für Schule und Jugendberatung übertragbar auf Deutschland</w:t>
      </w:r>
    </w:p>
    <w:p>
      <w:r>
        <w:rPr>
          <w:color w:val="5A7D3A"/>
          <w:sz w:val="18"/>
        </w:rPr>
        <w:t>https://pubmed.ncbi.nlm.nih.gov/42903179/</w:t>
      </w:r>
    </w:p>
    <w:p>
      <w:pPr>
        <w:pStyle w:val="Heading1"/>
      </w:pPr>
      <w:r>
        <w:t>Aufgenommen am 24.10.2026</w:t>
      </w:r>
    </w:p>
    <w:p>
      <w:pPr>
        <w:pStyle w:val="Heading2"/>
      </w:pPr>
      <w:r>
        <w:t>Eltern von depressiven Jugendlichen: Geringes Wissen, negative Einstellungen, moderate Praxis</w:t>
      </w:r>
    </w:p>
    <w:p>
      <w:r>
        <w:rPr>
          <w:i/>
          <w:color w:val="666666"/>
          <w:sz w:val="18"/>
        </w:rPr>
        <w:t>Zhang Y et al.  ·  BMC Psychiatry  ·  25.07.2026  ·  PMID 42919256</w:t>
      </w:r>
    </w:p>
    <w:p>
      <w:r>
        <w:t>Querschnittstudie mit 138 Eltern von hospitalisierten Jugendlichen mit Depression (Dezember 2023–September 2024) zu depression-bezogenem Wissen, Einstellungen und Praktiken (KAP) mittels 25-Item-Fragebogen (10 Wissen, 9 Einstellungen, 6 Praktiken).</w:t>
      </w:r>
    </w:p>
    <w:p>
      <w:r>
        <w:rPr>
          <w:b/>
        </w:rPr>
        <w:t xml:space="preserve">Ergebnis: </w:t>
      </w:r>
      <w:r>
        <w:t>Standardisierte Werte (0–100): Wissen 54,33±13,59; Einstellungen 59,29±10,93; Praktiken 73,77±12,20; gesamt 60,78±7,46. Wissen, Einstellungen und Gesamtwert unterschieden sich nach Alter, Beruf und Bildung. In Multivariaten Modellen: Alter, Beruf, Bildung und Einkommen unabhängig mit KAP-Gesamtwert assoziiert (alle p&lt;0,05). Eltern zeigten begrenzte Krankheits-Wissensvermittlung, komparativ negative Einstellungen und moderate Praktiken.</w:t>
      </w:r>
    </w:p>
    <w:p>
      <w:r>
        <w:rPr>
          <w:b/>
          <w:sz w:val="19"/>
        </w:rPr>
        <w:t xml:space="preserve">Übertragbarkeit: </w:t>
      </w:r>
      <w:r>
        <w:rPr>
          <w:sz w:val="19"/>
        </w:rPr>
        <w:t>China, Eltern-Psychoedukation; zeigt Wissenslücken in Elternschaft—relevant für deutsche Maßnahmen bei Jugendlichendepression und Angehörigenbegleitung.</w:t>
      </w:r>
    </w:p>
    <w:p>
      <w:r>
        <w:rPr>
          <w:color w:val="5A7D3A"/>
          <w:sz w:val="18"/>
        </w:rPr>
        <w:t>https://pubmed.ncbi.nlm.nih.gov/42919256/</w:t>
      </w:r>
    </w:p>
    <w:p>
      <w:pPr>
        <w:pStyle w:val="Heading2"/>
      </w:pPr>
      <w:r>
        <w:t>Schulen und Systembrüche: Haupthindernisse für psychosoziale Versorgung von Jugendlichen</w:t>
      </w:r>
    </w:p>
    <w:p>
      <w:r>
        <w:rPr>
          <w:i/>
          <w:color w:val="666666"/>
          <w:sz w:val="18"/>
        </w:rPr>
        <w:t>Paclikova K et al.  ·  Int J Public Health  ·  07.10.2026  ·  PMID 42908673</w:t>
      </w:r>
    </w:p>
    <w:p>
      <w:r>
        <w:t>Konzept-Mapping-Studie mit 33 Fachpersonen aus Tschechien und der Slowakei identifizierte dringende, aber schwer umsetzbare Verbesserungen in der psychosozialen Versorgung von Jugendlichen mit emotionalen und Verhaltensproblemen.</w:t>
      </w:r>
    </w:p>
    <w:p>
      <w:r>
        <w:rPr>
          <w:b/>
        </w:rPr>
        <w:t xml:space="preserve">Ergebnis: </w:t>
      </w:r>
      <w:r>
        <w:t>43 Maßnahmen wurden in 5 Cluster kategorisiert; 13 Maßnahmen als hochdringlich, aber nicht umsetzbar eingestuft. Die meisten betrafen Schulsystemänderungen (Cluster 1), Verbesserung der Systemtransparenz und -funktionalität (Cluster 2) sowie gesetzliche Bedingungen. Hauptbarrieren waren Personalkapazität, Fragmentierung der Versorgung und mangelnde Schulkoordination.</w:t>
      </w:r>
    </w:p>
    <w:p>
      <w:r>
        <w:rPr>
          <w:b/>
          <w:sz w:val="19"/>
        </w:rPr>
        <w:t xml:space="preserve">Übertragbarkeit: </w:t>
      </w:r>
      <w:r>
        <w:rPr>
          <w:sz w:val="19"/>
        </w:rPr>
        <w:t>Europäisches System mit vergleichbarer psychiatrischer Infrastruktur und Finanzierung; Erkenntnisse zur Systemfragmentierung übertragbar auf Deutschland.</w:t>
      </w:r>
    </w:p>
    <w:p>
      <w:r>
        <w:rPr>
          <w:color w:val="5A7D3A"/>
          <w:sz w:val="18"/>
        </w:rPr>
        <w:t>https://pubmed.ncbi.nlm.nih.gov/42908673/</w:t>
      </w:r>
    </w:p>
    <w:p>
      <w:pPr>
        <w:pStyle w:val="Heading2"/>
      </w:pPr>
      <w:r>
        <w:t>Progressive Muskelrelaxation reduzierte Traumasymptome nach Erdbeben deutlich</w:t>
      </w:r>
    </w:p>
    <w:p>
      <w:r>
        <w:rPr>
          <w:i/>
          <w:color w:val="666666"/>
          <w:sz w:val="18"/>
        </w:rPr>
        <w:t>Karadaşlı T et al.  ·  BMC Psychiatry  ·  19.09.2026  ·  PMID 42907791</w:t>
      </w:r>
    </w:p>
    <w:p>
      <w:r>
        <w:t>Randomisierte kontrollierte Studie mit 44 Erdbebenüberlebenden (n=22 je Gruppe) zur Wirksamkeit von Progressive-Muskelrelaxations-Training (PMRT) via Telerehabilitation bei PTBS nach dem Kahramanmaraş-Erdbeben 2023.</w:t>
      </w:r>
    </w:p>
    <w:p>
      <w:r>
        <w:rPr>
          <w:b/>
        </w:rPr>
        <w:t xml:space="preserve">Ergebnis: </w:t>
      </w:r>
      <w:r>
        <w:t>PMRT-Gruppe: PTBS-Symptomeschwere signifikant gesunken (p&lt;0,001; η²p=0,735). Verbesserungen auch bei Depression (η²p=0,435), Angst (η²p=0,521), Stress (η²p=0,504), Schlafqualität (η²p=0,632), körperliche (η²p=0,727) und mentale Lebensqualität (η²p=0,630) vs. Kontrolle. Kontrollgruppe: keine Verbesserungen, Schlaf und körperliche Gesundheit verschlechtert sich.</w:t>
      </w:r>
    </w:p>
    <w:p>
      <w:r>
        <w:rPr>
          <w:b/>
          <w:sz w:val="19"/>
        </w:rPr>
        <w:t xml:space="preserve">Übertragbarkeit: </w:t>
      </w:r>
      <w:r>
        <w:rPr>
          <w:sz w:val="19"/>
        </w:rPr>
        <w:t>Türkei, Nachbarland mit ähnlichen Traumatisierungsszenarien; Telerehabilitation übertragbar auf deutsche Strukturen bei Krisensituationen.</w:t>
      </w:r>
    </w:p>
    <w:p>
      <w:r>
        <w:rPr>
          <w:color w:val="5A7D3A"/>
          <w:sz w:val="18"/>
        </w:rPr>
        <w:t>https://pubmed.ncbi.nlm.nih.gov/42907791/</w:t>
      </w:r>
    </w:p>
    <w:p>
      <w:pPr>
        <w:pStyle w:val="Heading2"/>
      </w:pPr>
      <w:r>
        <w:t>Europäische Psychiater: Psychosoziale Interventionen bei bipolarer Störung untergenutzt</w:t>
      </w:r>
    </w:p>
    <w:p>
      <w:r>
        <w:rPr>
          <w:i/>
          <w:color w:val="666666"/>
          <w:sz w:val="18"/>
        </w:rPr>
        <w:t>Sani G et al.  ·  Eur Psychiatry  ·  21.10.2026  ·  PMID 42904336</w:t>
      </w:r>
    </w:p>
    <w:p>
      <w:r>
        <w:t>Querschnittstudie mit 654 Psychiatern und Assistenzärzten aus 40 europäischen Ländern zur Behandlungspräferenz bei bipolarer Störung.</w:t>
      </w:r>
    </w:p>
    <w:p>
      <w:r>
        <w:rPr>
          <w:b/>
        </w:rPr>
        <w:t xml:space="preserve">Ergebnis: </w:t>
      </w:r>
      <w:r>
        <w:t>Mehrheit bevorzugte Pharmakotherapie als Kombination von zwei bis drei Wirkstoffen; Lithium am häufigsten in allen Krankheitsphasen. Psychosoziale Interventionen nicht systematisch implementiert, besonders bei manischen und gemischten Episoden. Latent-Class-Analyse identifizierte vier unterschiedliche Verschreibungsprofile. Psychoedukation und kognitiv-behaviorale Therapie in bis zu 40 % der depressiven Phase empfohlen.</w:t>
      </w:r>
    </w:p>
    <w:p>
      <w:r>
        <w:rPr>
          <w:b/>
          <w:sz w:val="19"/>
        </w:rPr>
        <w:t xml:space="preserve">Übertragbarkeit: </w:t>
      </w:r>
      <w:r>
        <w:rPr>
          <w:sz w:val="19"/>
        </w:rPr>
        <w:t>40 europäische Länder, hohe Vergleichbarkeit zur deutschen Psychiatrie; zeigt Implementierungslücke bei evidenzgestützten Richtlinien.</w:t>
      </w:r>
    </w:p>
    <w:p>
      <w:r>
        <w:rPr>
          <w:color w:val="5A7D3A"/>
          <w:sz w:val="18"/>
        </w:rPr>
        <w:t>https://pubmed.ncbi.nlm.nih.gov/42904336/</w:t>
      </w:r>
    </w:p>
    <w:p>
      <w:pPr>
        <w:pStyle w:val="Heading2"/>
      </w:pPr>
      <w:r>
        <w:t>Stadtinfrastruktur Busse: Ressource für Genesung von Psychose im urbanen Alltag</w:t>
      </w:r>
    </w:p>
    <w:p>
      <w:r>
        <w:rPr>
          <w:i/>
          <w:color w:val="666666"/>
          <w:sz w:val="18"/>
        </w:rPr>
        <w:t>Winz M et al.  ·  Sociol Health Illn  ·  Nov. 2026  ·  PMID 42899344</w:t>
      </w:r>
    </w:p>
    <w:p>
      <w:r>
        <w:t>Qualitative geografische Studie mit jungen Menschen in Genesung von Früh-Psychose (Lausanne, Schweiz) zur Rolle von Businfrastruktur als Ressource oder Hindernis für Recovery, Autonomie und Stadtbeteiligung.</w:t>
      </w:r>
    </w:p>
    <w:p>
      <w:r>
        <w:rPr>
          <w:b/>
        </w:rPr>
        <w:t xml:space="preserve">Ergebnis: </w:t>
      </w:r>
      <w:r>
        <w:t>Busse fungieren als affektive Rettungsleinen, Autonomie-Anker und Gateways zu formalen/informalen Wellbeing-Ressourcen; unterstützen Recovery und Wiederengagement mit der Stadt. Gleichzeitig: Sinnesüberstimulation, Nähe zu anderen, Angst vor Überwachung, finanzielle Barrieren. Mobilität durch Begegnungen mit urbaner Infrastruktur relational konstituiert—Busse können Kapazitäten zur Stadtbeteiligung kultivieren oder unterminieren.</w:t>
      </w:r>
    </w:p>
    <w:p>
      <w:r>
        <w:rPr>
          <w:b/>
          <w:sz w:val="19"/>
        </w:rPr>
        <w:t xml:space="preserve">Übertragbarkeit: </w:t>
      </w:r>
      <w:r>
        <w:rPr>
          <w:sz w:val="19"/>
        </w:rPr>
        <w:t>Schweiz, vergleichbares Versicherungssystem; konzeptualisiert Mobility als Versorgungsfaktor—relevant für deutsche Community-Psychiatrie und urbane Gesundheitsplanung.</w:t>
      </w:r>
    </w:p>
    <w:p>
      <w:r>
        <w:rPr>
          <w:color w:val="5A7D3A"/>
          <w:sz w:val="18"/>
        </w:rPr>
        <w:t>https://pubmed.ncbi.nlm.nih.gov/42899344/</w:t>
      </w:r>
    </w:p>
    <w:p>
      <w:pPr>
        <w:pStyle w:val="Heading2"/>
      </w:pPr>
      <w:r>
        <w:t>Deutsche Kohortenstudie: Luftverschmutzung und Hitze erhöhen Depressionsrisiko</w:t>
      </w:r>
    </w:p>
    <w:p>
      <w:r>
        <w:rPr>
          <w:i/>
          <w:color w:val="666666"/>
          <w:sz w:val="18"/>
        </w:rPr>
        <w:t>Wang Y et al.  ·  Environ Int  ·  27.09.2026  ·  PMID 42810139</w:t>
      </w:r>
    </w:p>
    <w:p>
      <w:r>
        <w:t>Längsschnittanalyse von über 70.000 erwachsenen Deutschen (Baseline 2014–2019, Follow-up 2020, 2022) zu Assoziationen zwischen Umweltexpositionen (Luftqualität, Temperatur, Grünflächenanteil) und Depressivität, Angst, Stress.</w:t>
      </w:r>
    </w:p>
    <w:p>
      <w:r>
        <w:rPr>
          <w:b/>
        </w:rPr>
        <w:t xml:space="preserve">Ergebnis: </w:t>
      </w:r>
      <w:r>
        <w:t>Höhere Lufttemperatur pro IQR assoziiert mit höherer Depressivität (β=0,07, 95%-KI 0,03–0,12), Angst (β=0,05, 95%-KI 0,01–0,09) und Stress (β=0,05, 95%-KI 0,01–0,09). NO₂-Exposition assoziiert mit höherer Depressivität (β=0,08, 95%-KI 0,03–0,14). Höhere Bevölkerungsdichte (100m-Radius) mit höherer Depressivität, Angst, Stress. Höhere Grünflächen, Niederschlag und relative Feuchte mit niedrigerer Depressivität. Stärkere Effekte bei Frauen, jüngeren Erwachsenen, Adipösen und in Städten.</w:t>
      </w:r>
    </w:p>
    <w:p>
      <w:r>
        <w:rPr>
          <w:b/>
          <w:sz w:val="19"/>
        </w:rPr>
        <w:t xml:space="preserve">Übertragbarkeit: </w:t>
      </w:r>
      <w:r>
        <w:rPr>
          <w:sz w:val="19"/>
        </w:rPr>
        <w:t>Deutsche Nationale Kohorte (NAKO), nationale Datengrundlage; unmittelbar auf deutsche Versorgungsplanung und Präventionsmaßnahmen anwendbar.</w:t>
      </w:r>
    </w:p>
    <w:p>
      <w:r>
        <w:rPr>
          <w:color w:val="5A7D3A"/>
          <w:sz w:val="18"/>
        </w:rPr>
        <w:t>https://pubmed.ncbi.nlm.nih.gov/42810139/</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