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Psychische Gesundheit</w:t>
      </w:r>
    </w:p>
    <w:p>
      <w:r>
        <w:rPr>
          <w:i/>
          <w:color w:val="666666"/>
          <w:sz w:val="18"/>
        </w:rPr>
        <w:t>Stand: 19.10.2026  |  6 Studien  |  mental.m-vf.de</w:t>
      </w:r>
    </w:p>
    <w:p>
      <w:pPr>
        <w:pStyle w:val="Heading1"/>
      </w:pPr>
      <w:r>
        <w:t>Aufgenommen am 19.10.2026</w:t>
      </w:r>
    </w:p>
    <w:p>
      <w:pPr>
        <w:pStyle w:val="Heading2"/>
      </w:pPr>
      <w:r>
        <w:t>Metakognitive Therapie für Zwangsstörung in Pakistan: Symptomreduktion stärker als Standardversorgung</w:t>
      </w:r>
    </w:p>
    <w:p>
      <w:r>
        <w:rPr>
          <w:i/>
          <w:color w:val="666666"/>
          <w:sz w:val="18"/>
        </w:rPr>
        <w:t>Anwar S et al.  ·  Depress Anxiety  ·  15.10.2026  ·  PMID 42890135</w:t>
      </w:r>
    </w:p>
    <w:p>
      <w:r>
        <w:t>Multizentrische RCT mit 76 Erwachsenen mit Zwangsstörung in pakistanischen ambulanten Diensten, randomisiert auf 12 Wochensitzungen metakognitive Therapie (MCT, n=38) oder dokumentierte Standardversorgung (TAU, n=38); Messung von Yale-Brown Obsessive-Compulsive Scale und Metacognitions Questionnaire über Baseline, Post-Treatment und 6-Monat-Follow-up.</w:t>
      </w:r>
    </w:p>
    <w:p>
      <w:r>
        <w:rPr>
          <w:b/>
        </w:rPr>
        <w:t xml:space="preserve">Ergebnis: </w:t>
      </w:r>
      <w:r>
        <w:t>MCT führte zu stärkeren Reduktionen in Zwangsstörungs-Schweregrad als TAU (F(1,81; 134)=11,30; p&lt;0,001), mit mittleren Differenzen von -4,00 bei Post-Treatment und -6,92 bei Follow-up (beide p&lt;0,001); häufigere Behandlungsresponse bei MCT; metakognitive Überzeugungen wurden reduziert und Gewinne bei Follow-up erhalten; der vorspezifizierte indirekte Effekt durch Post-Treatment-Überzeugungen wurde jedoch nicht unterstützt (β=-0,01).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Nicht-westlicher Kontext mit Validierung in Low-Ressourcen-Setting – Generalisierbarkeit auf Deutschland unsicher</w:t>
      </w:r>
    </w:p>
    <w:p>
      <w:r>
        <w:rPr>
          <w:color w:val="5A7D3A"/>
          <w:sz w:val="18"/>
        </w:rPr>
        <w:t>https://pubmed.ncbi.nlm.nih.gov/42890135/</w:t>
      </w:r>
    </w:p>
    <w:p>
      <w:pPr>
        <w:pStyle w:val="Heading2"/>
      </w:pPr>
      <w:r>
        <w:t>Reisen im Alter: Explorationen senken Angst, Nostalgisches stärkt Lebenssinn</w:t>
      </w:r>
    </w:p>
    <w:p>
      <w:r>
        <w:rPr>
          <w:i/>
          <w:color w:val="666666"/>
          <w:sz w:val="18"/>
        </w:rPr>
        <w:t>Li R et al.  ·  Medicine (Baltimore)  ·  16.10.2026  ·  PMID 42888552</w:t>
      </w:r>
    </w:p>
    <w:p>
      <w:r>
        <w:t>Prospektive Kohortenstudie mit 5.482 älteren Erwachsenen aus Südchina; Latente Klassenanalyse klassifizierte Teilnehmer nach Reisemotivation (Nostalgie-dominant, Explorations-dominant, gemischt-aktiv, inaktiv); Angst und Sinn im Leben wurden in Nachfolgeuntersuchung gemessen; lineare Regression, Strukturgleichungsmodellierung und Subgruppenanalysen angewandt.</w:t>
      </w:r>
    </w:p>
    <w:p>
      <w:r>
        <w:rPr>
          <w:b/>
        </w:rPr>
        <w:t xml:space="preserve">Ergebnis: </w:t>
      </w:r>
      <w:r>
        <w:t>Gemischte aktive Reisen waren am stärksten mit niedrigeren Angststufen assoziiert (β=-1,22; 95%-KI -1,55 bis -0,89) und höheren Sinn-im-Leben-Werten (β=0,58; 95%-KI 0,35 bis 0,81); Explorations-dominante Reisen signifikant mit niedrigeren Angststufen (β=-0,92; 95%-KI -1,24 bis -0,60), 33,7% der Assoziation durch psychologisches Kapital vermittelt; Nostalgie-dominante Reisen mit höherem Sinn im Leben (β=0,27; 95%-KI 0,05 bis 0,49), Selbstkontinuität vermittelte Assoziation; Assoziation zwischen aktiver Reise und niedriger Angst stärker bei älteren Erwachsenen mit niedriger sozialer Unterstützung.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 – Versorgungskontext unterscheidet sich; aber Befunde zu Freizeitaktivitäten und psychischem Wohlbefinden können für präventive Interventionen in Deutschland relevant sein</w:t>
      </w:r>
    </w:p>
    <w:p>
      <w:r>
        <w:rPr>
          <w:color w:val="5A7D3A"/>
          <w:sz w:val="18"/>
        </w:rPr>
        <w:t>https://pubmed.ncbi.nlm.nih.gov/42888552/</w:t>
      </w:r>
    </w:p>
    <w:p>
      <w:pPr>
        <w:pStyle w:val="Heading2"/>
      </w:pPr>
      <w:r>
        <w:t>Gefängnispersonal in Kanada: Frauen haben weniger Stigma, höhere Hilfeinanspruchnahme</w:t>
      </w:r>
    </w:p>
    <w:p>
      <w:r>
        <w:rPr>
          <w:i/>
          <w:color w:val="666666"/>
          <w:sz w:val="18"/>
        </w:rPr>
        <w:t>Ricciardelli R et al.  ·  BMC Psychol  ·  22.07.2026  ·  PMID 42888455</w:t>
      </w:r>
    </w:p>
    <w:p>
      <w:r>
        <w:t>Nationale Querschnittsstudie mit 3.740 Justizbeamten aus allen kanadischen Provinz- und Territorialstrafvollzugsdiensten; Messung von psychischer Gesundheitskompetenz, Stigma und Intention zur Inanspruchnahme von Diensten stratifiziert nach Demografie, Berufsgruppe und früherer Diagnose einer psychischen Störung.</w:t>
      </w:r>
    </w:p>
    <w:p>
      <w:r>
        <w:rPr>
          <w:b/>
        </w:rPr>
        <w:t xml:space="preserve">Ergebnis: </w:t>
      </w:r>
      <w:r>
        <w:t>Frauen berichteten signifikant höhere psychische Gesundheitskompetenz und Inanspruchnahmeabsicht sowie niedrigeres Stigma als Männer (alle p&lt;0,001; Cohen's d Wissensunterschiede -0,31, Stigma 0,44, Inanspruchnahme -0,23); jüngere Arbeitskräfte zeigten niedrigeres Stigma (p&lt;0,01, η²=0,013), 21-29-Jährige niedrigere Inanspruchnahmeabsicht als ältere Gruppen; höhere Bildung mit höherer Kompetenz und niedrigerem Stigma (p&lt;0,001; η²=0,028 bzw. 0,026) assoziiert; signifikante provinziale/territoriale und berufliche Unterschiede beobachtet.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Kanada – vergleichbares englischsprachiges System, aber unterschiedliche Gefängnisorganisation</w:t>
      </w:r>
    </w:p>
    <w:p>
      <w:r>
        <w:rPr>
          <w:color w:val="5A7D3A"/>
          <w:sz w:val="18"/>
        </w:rPr>
        <w:t>https://pubmed.ncbi.nlm.nih.gov/42888455/</w:t>
      </w:r>
    </w:p>
    <w:p>
      <w:pPr>
        <w:pStyle w:val="Heading2"/>
      </w:pPr>
      <w:r>
        <w:t>Amygdala-Neurofeedback zusätzlich zu DBT bei Borderline-Störung: keine zusätzliche klinische Wirkung</w:t>
      </w:r>
    </w:p>
    <w:p>
      <w:r>
        <w:rPr>
          <w:i/>
          <w:color w:val="666666"/>
          <w:sz w:val="18"/>
        </w:rPr>
        <w:t>Hofmanová M et al.  ·  BMC Psychiatry  ·  16.10.2026  ·  PMID 42888408</w:t>
      </w:r>
    </w:p>
    <w:p>
      <w:r>
        <w:t>Randomisierte Pilotstudie an 36 Patienten mit Borderline-Persönlichkeitsstörung und residualen Symptomen, die während einer stationären dialektischen Verhaltenstherapie (DBT) entweder zusätzlich eine Echtzeit-fMRI-Amygdala-Neurofeedback-Intervention oder nur DBT erhielten; Messung der Veränderungen in alltäglicher affektiver Instabilität über 6 Monate.</w:t>
      </w:r>
    </w:p>
    <w:p>
      <w:r>
        <w:rPr>
          <w:b/>
        </w:rPr>
        <w:t xml:space="preserve">Ergebnis: </w:t>
      </w:r>
      <w:r>
        <w:t>Teilnehmer regulierten erfolgreich die Amygdala-Aktivität herunter und zeigten Verbesserungen in negativem Affekt und affektiver Instabilität über die Zeit, aber die Amygdala-Neurofeedback-Gruppe zeigte keine konsistente Überlegenheit gegenüber der Kontrollgruppe in den Selbstberichten oder den primären BSL-23-Ergebnissen, die nach Entlassung in beiden Gruppen anstiegen. Die neuroimaging-Befunde deuteten auf vorübergehende Reduktionen der Amygdala-Aktivität und stabilere Reaktivität über Zeit hin, ohne dass sich dies in stärkere klinische Gewinne übersetzt hätte.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– deutsche Universitätskliniken mit vergleichbarem Forschungsstandard</w:t>
      </w:r>
    </w:p>
    <w:p>
      <w:r>
        <w:rPr>
          <w:color w:val="5A7D3A"/>
          <w:sz w:val="18"/>
        </w:rPr>
        <w:t>https://pubmed.ncbi.nlm.nih.gov/42888408/</w:t>
      </w:r>
    </w:p>
    <w:p>
      <w:pPr>
        <w:pStyle w:val="Heading2"/>
      </w:pPr>
      <w:r>
        <w:t>Nach Schlaganfall kognitiven Abbau verhindern: viele Interventionen wirken, Evidenzqualität niedrig</w:t>
      </w:r>
    </w:p>
    <w:p>
      <w:r>
        <w:rPr>
          <w:i/>
          <w:color w:val="666666"/>
          <w:sz w:val="18"/>
        </w:rPr>
        <w:t>Tang EYH et al.  ·  Eur Stroke J  ·  05.10.2026  ·  PMID 42886840</w:t>
      </w:r>
    </w:p>
    <w:p>
      <w:r>
        <w:t>Umbrella-Review von systematischen Übersichten mit Daten aus 747 RCTs (57.176 Teilnehmer) zu pharmakologischen und nicht-pharmakologischen Interventionen für kognitiven Abbau nach Schlaganfall; Messung von globaler Kognition (z.B. Mini-Mental State Examination) über alle Schlaganfallschweregrade.</w:t>
      </w:r>
    </w:p>
    <w:p>
      <w:r>
        <w:rPr>
          <w:b/>
        </w:rPr>
        <w:t xml:space="preserve">Ergebnis: </w:t>
      </w:r>
      <w:r>
        <w:t>69 systematische Übersichten eingeschlossen; die meisten Interventionstypen (37 Kategorien, einzelne und kombinierte Modalitäten wie Akupunktur, Bewegung, kognitive Rehabilitation) waren mit statistisch signifikanten Verbesserungen der globalen Kognition assoziiert; erhebliche Heterogenität und breite Vorhersageintervalle deuten darauf hin, dass Effektgrößen zwischen Populationen und Settings erheblich variieren; die meisten eingeschlossenen Übersichten hatten kritisch niedrige Qualität mit methodischen Einschränkungen (AMSTAR2).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UK-geleitet – europäische Schlaganfallversorgung, aber: Vertrauensgrad in Evidenz niedrig</w:t>
      </w:r>
    </w:p>
    <w:p>
      <w:r>
        <w:rPr>
          <w:color w:val="5A7D3A"/>
          <w:sz w:val="18"/>
        </w:rPr>
        <w:t>https://pubmed.ncbi.nlm.nih.gov/42886840/</w:t>
      </w:r>
    </w:p>
    <w:p>
      <w:pPr>
        <w:pStyle w:val="Heading2"/>
      </w:pPr>
      <w:r>
        <w:t>Imagery Rescripting gegen Abhängigkeit in Gewaltbeziehungen: signifikante Verbesserung</w:t>
      </w:r>
    </w:p>
    <w:p>
      <w:r>
        <w:rPr>
          <w:i/>
          <w:color w:val="666666"/>
          <w:sz w:val="18"/>
        </w:rPr>
        <w:t>Pugliese E et al.  ·  Clin Psychol Psychother  ·  Sept. 2026  ·  PMID 42786889</w:t>
      </w:r>
    </w:p>
    <w:p>
      <w:r>
        <w:t>Proof-of-Concept-Studie mit 18 Frauen als Überlebende von Partnergewalt, die eine 13-Session-Intervention (Imagery Rescripting für Pathologische Affektive Abhängigkeit) in italienischen Anti-Gewalt-Diensten erhielten; gemessen wurden Abhängigkeitssymptome, Rückkehrabsicht zur missbräuchlichen Beziehung, Traumasymptome und Resilienz.</w:t>
      </w:r>
    </w:p>
    <w:p>
      <w:r>
        <w:rPr>
          <w:b/>
        </w:rPr>
        <w:t xml:space="preserve">Ergebnis: </w:t>
      </w:r>
      <w:r>
        <w:t>Signifikante Reduktionen in Pathologischer Affektiver Abhängigkeit (p&lt;0,05), Beziehungsverpflichtung und Absicht zur Rückkehr über den Behandlungsverlauf; Verbesserungen in Traumasymptomen (p&lt;0,05), psychologischem Wohlbefinden und Resilienz von Baseline bis Post-Treatment; Veränderungen in den primären relationalen Outcomes und Resilienz blieben nach 1-Monat-Nachuntersuchung weitgehend erhalten, während Traumasymptome leicht abnahmen, aber signifikant verbessert gegenüber Baseline blieben.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 – vergleichbarer europäischer Versorgungskontext in Anti-Gewalt-Diensten</w:t>
      </w:r>
    </w:p>
    <w:p>
      <w:r>
        <w:rPr>
          <w:color w:val="5A7D3A"/>
          <w:sz w:val="18"/>
        </w:rPr>
        <w:t>https://pubmed.ncbi.nlm.nih.gov/42786889/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Psychische Gesundheit</dc:title>
  <dc:subject/>
  <dc:creator>Monitor Versorgungsforschung</dc:creator>
  <cp:keywords/>
  <dc:description>generated by python-docx</dc:description>
  <cp:lastModifiedBy/>
  <cp:revision>1</cp:revision>
  <dcterms:created xsi:type="dcterms:W3CDTF">2026-10-19T06:00:00Z</dcterms:created>
  <dcterms:modified xsi:type="dcterms:W3CDTF">2026-10-19T06:00:00Z</dcterms:modified>
  <cp:category/>
</cp:coreProperties>
</file>