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20.10.2026  |  342 Studien  |  mental.m-vf.de</w:t>
      </w:r>
    </w:p>
    <w:p>
      <w:pPr>
        <w:pStyle w:val="Heading1"/>
      </w:pPr>
      <w:r>
        <w:t>Aufgenommen am 20.10.2026</w:t>
      </w:r>
    </w:p>
    <w:p>
      <w:pPr>
        <w:pStyle w:val="Heading2"/>
      </w:pPr>
      <w:r>
        <w:t>Online- und Präsenzbegleitung bei Depression: Ergebnisse ähnlich, Adhärenz besser online</w:t>
      </w:r>
    </w:p>
    <w:p>
      <w:r>
        <w:rPr>
          <w:i/>
          <w:color w:val="666666"/>
          <w:sz w:val="18"/>
        </w:rPr>
        <w:t>Akalın D et al.  ·  JMIR Form Res  ·  19.10.2026  ·  PMID 42896175</w:t>
      </w:r>
    </w:p>
    <w:p>
      <w:r>
        <w:t>Prospektive Kohortenstudie mit 120 Erwachsenen mit Major Depression in der Türkei: 6 Monate ambulante psychiatrische Behandlung entweder face-to-face (n=60) oder online (n=60) nach Patientenpräferenz.</w:t>
      </w:r>
    </w:p>
    <w:p>
      <w:r>
        <w:rPr>
          <w:b/>
        </w:rPr>
        <w:t xml:space="preserve">Ergebnis: </w:t>
      </w:r>
      <w:r>
        <w:t>Depressive Symptome (HAM-D) sanken in beiden Gruppen erheblich: Face-to-face von 26,6 auf 5,0 (81,2% Reduktion, Cohen d=4,86), online von 24,1 auf 3,3 (86,3% Reduktion, Cohen d=6,06). Nach Adjustierung für Ausgangschweregrad keine signifikanten Unterschiede zwischen den Gruppen (p=0,46). Online-Gruppe zeigte jedoch höhere Adhärenz über alle 7 geplanten Sitzungen (88,8% vs. 76%, p&lt;0,001). Beide Modalitäten führten zu hohen Response-Raten (95,3% vs. 98%).</w:t>
      </w:r>
    </w:p>
    <w:p>
      <w:r>
        <w:rPr>
          <w:b/>
          <w:sz w:val="19"/>
        </w:rPr>
        <w:t xml:space="preserve">Übertragbarkeit: </w:t>
      </w:r>
      <w:r>
        <w:rPr>
          <w:sz w:val="19"/>
        </w:rPr>
        <w:t>Türkei, Universitätsklinik – Befund zur Feasibility telemedizinischer Betreuung in regulärer ambulanter Praxis übertragbar</w:t>
      </w:r>
    </w:p>
    <w:p>
      <w:r>
        <w:rPr>
          <w:color w:val="5A7D3A"/>
          <w:sz w:val="18"/>
        </w:rPr>
        <w:t>https://pubmed.ncbi.nlm.nih.gov/42896175/</w:t>
      </w:r>
    </w:p>
    <w:p>
      <w:pPr>
        <w:pStyle w:val="Heading2"/>
      </w:pPr>
      <w:r>
        <w:t>Intensivtherapie überlegen: 4-Tage-Exposition gegen Online-KVT bei Zwangsstörung</w:t>
      </w:r>
    </w:p>
    <w:p>
      <w:r>
        <w:rPr>
          <w:i/>
          <w:color w:val="666666"/>
          <w:sz w:val="18"/>
        </w:rPr>
        <w:t>Jelinek L et al.  ·  JAMA Netw Open  ·  01.10.2026  ·  PMID 42895747</w:t>
      </w:r>
    </w:p>
    <w:p>
      <w:r>
        <w:t>Randomisierte Studie mit 119 Erwachsenen mit Zwangsstörung (OCD): Vergleich der Bergen-4-Tage-Behandlung (B4DT, konzentrierte Expositionstherapie) mit 8-wöchiger ungeleiteter Internet-KVT (iCBT), Nachverfolgung über 3 Monate.</w:t>
      </w:r>
    </w:p>
    <w:p>
      <w:r>
        <w:rPr>
          <w:b/>
        </w:rPr>
        <w:t xml:space="preserve">Ergebnis: </w:t>
      </w:r>
      <w:r>
        <w:t>B4DT zeigte signifikant stärkere Reduktionen in OCD-Symptomen (Yale-Brown Obsessive Compulsive Scale) als iCBT mit großem Effekt am Ende der Behandlung (Differenz -7,9 Punkte, Hedges g=-1,6, p&lt;0,001) und bei 3-Monats-Nachverfolgung (Differenz -5,6, Hedges g=-1,0). Response-Rate nach 3 Monaten B4DT 61,4% vs. iCBT 25,0%; Remissionsrate 42,1% vs. 13,6%. Alle sekundären Outcomes begünstigten B4DT.</w:t>
      </w:r>
    </w:p>
    <w:p>
      <w:r>
        <w:rPr>
          <w:b/>
          <w:sz w:val="19"/>
        </w:rPr>
        <w:t xml:space="preserve">Übertragbarkeit: </w:t>
      </w:r>
      <w:r>
        <w:rPr>
          <w:sz w:val="19"/>
        </w:rPr>
        <w:t>Deutschland, Universitätsklinik Hamburg – erprobtes, konzentriertes Verfahren für bessere Zugangsrechtfertigung und Ressourcenallokation</w:t>
      </w:r>
    </w:p>
    <w:p>
      <w:r>
        <w:rPr>
          <w:color w:val="5A7D3A"/>
          <w:sz w:val="18"/>
        </w:rPr>
        <w:t>https://pubmed.ncbi.nlm.nih.gov/42895747/</w:t>
      </w:r>
    </w:p>
    <w:p>
      <w:pPr>
        <w:pStyle w:val="Heading2"/>
      </w:pPr>
      <w:r>
        <w:t>Gesundheits- und Wellbeing-Programm für Erwachsene mit Lernbehinderungen machbar und wirksam</w:t>
      </w:r>
    </w:p>
    <w:p>
      <w:r>
        <w:rPr>
          <w:i/>
          <w:color w:val="666666"/>
          <w:sz w:val="18"/>
        </w:rPr>
        <w:t>McCready H et al.  ·  J Appl Res Intellect Disabil  ·  Sept. 2026  ·  PMID 42894898</w:t>
      </w:r>
    </w:p>
    <w:p>
      <w:r>
        <w:t>Machbarkeitsstudie eines 8-wöchigen Gesundheits- und Wellbeing-Interventionsprogramms für 24 Erwachsene mit leichter bis mittelgradiger intellektueller Behinderung in gemeindepsychiatrischen Tagesdiensten; Guided by Medical Research Council Framework mit Assessments zu Machbarkeit, Akzeptabilität, Treue und Pre-Post-Outcomes.</w:t>
      </w:r>
    </w:p>
    <w:p>
      <w:r>
        <w:rPr>
          <w:b/>
        </w:rPr>
        <w:t xml:space="preserve">Ergebnis: </w:t>
      </w:r>
      <w:r>
        <w:t>Retention 100%, Compliance 73%. Outcome-Erfassung &gt;80% für die meisten Messgrößen, keine Nebenwirkungen. Systolischer Blutdruck verbessert sich, Muskelausdauer und Flexibilität nahmen zu. In explorativen Analysen bessere Outcomes bei Teilnehmern mit leichter intellektueller Behinderung. Personalfiddelität war zufriedenstellend. Wohlbefindens-Scores (generell) verbesserten sich nicht signifikant.</w:t>
      </w:r>
    </w:p>
    <w:p>
      <w:r>
        <w:rPr>
          <w:b/>
          <w:sz w:val="19"/>
        </w:rPr>
        <w:t xml:space="preserve">Übertragbarkeit: </w:t>
      </w:r>
      <w:r>
        <w:rPr>
          <w:sz w:val="19"/>
        </w:rPr>
        <w:t>Irland und UK – gemeindenahe Maßnahme für vulnerable Gruppe mit messbarem physiologischem Nutzen</w:t>
      </w:r>
    </w:p>
    <w:p>
      <w:r>
        <w:rPr>
          <w:color w:val="5A7D3A"/>
          <w:sz w:val="18"/>
        </w:rPr>
        <w:t>https://pubmed.ncbi.nlm.nih.gov/42894898/</w:t>
      </w:r>
    </w:p>
    <w:p>
      <w:pPr>
        <w:pStyle w:val="Heading2"/>
      </w:pPr>
      <w:r>
        <w:t>Einfache Postkarten-Aktion reduzierte Einsamkeit und steigerte Wohlbefinden nachweisbar</w:t>
      </w:r>
    </w:p>
    <w:p>
      <w:r>
        <w:rPr>
          <w:i/>
          <w:color w:val="666666"/>
          <w:sz w:val="18"/>
        </w:rPr>
        <w:t>Le Novere M et al.  ·  BMC Public Health  ·  22.07.2026  ·  PMID 42894147</w:t>
      </w:r>
    </w:p>
    <w:p>
      <w:r>
        <w:t>Evaluationsstudie eines partizipativen öffentlichen Gesundheitsinterventionsprogramms: Teilnehmer senden und erhalten Postkarten mit guten Wünschen an unbekannte Menschen; Analyse von 1.285 Antworten aus zwei Austauschgruppen 2021 mit Befragungen am Anfang, nach 2 Wochen und 3 Monate danach.</w:t>
      </w:r>
    </w:p>
    <w:p>
      <w:r>
        <w:rPr>
          <w:b/>
        </w:rPr>
        <w:t xml:space="preserve">Ergebnis: </w:t>
      </w:r>
      <w:r>
        <w:t>Einsamkeit reduzierte sich von Baseline bis Ende des Austauschs um -0,21 Punkte (95%-KI: -0,29 bis -0,12) und bis 3 Monate post-Austausch um -0,40 Punkte (95%-KI: -0,50 bis -0,30). Wohlbefinden stieg von Baseline bis Ende um 0,68 Einheiten (95%-KI: 0,47–0,88) und bis 3 Monate um 1,01 Einheiten (95%-KI: 0,77–1,25). Durchschnittliche Verwaltungskosten £0,67–£0,87 pro Teilnehmer. 48% der Baseline-Teilnehmer antworteten am Ende, 32% bei 3-Monats-Nachverfolgung.</w:t>
      </w:r>
    </w:p>
    <w:p>
      <w:r>
        <w:rPr>
          <w:b/>
          <w:sz w:val="19"/>
        </w:rPr>
        <w:t xml:space="preserve">Übertragbarkeit: </w:t>
      </w:r>
      <w:r>
        <w:rPr>
          <w:sz w:val="19"/>
        </w:rPr>
        <w:t>Großbritannien (UCL London) – einfache, skalierbare Public-Health-Maßnahme mit messbarem Effekt auf Bevölkerungsebene</w:t>
      </w:r>
    </w:p>
    <w:p>
      <w:r>
        <w:rPr>
          <w:color w:val="5A7D3A"/>
          <w:sz w:val="18"/>
        </w:rPr>
        <w:t>https://pubmed.ncbi.nlm.nih.gov/42894147/</w:t>
      </w:r>
    </w:p>
    <w:p>
      <w:pPr>
        <w:pStyle w:val="Heading2"/>
      </w:pPr>
      <w:r>
        <w:t>Italienisches Versorgungsnetz für Alzheimer mit strukturierten Zugangswegen etabliert</w:t>
      </w:r>
    </w:p>
    <w:p>
      <w:r>
        <w:rPr>
          <w:i/>
          <w:color w:val="666666"/>
          <w:sz w:val="18"/>
        </w:rPr>
        <w:t>Padovani A et al.  ·  Neurol Sci  ·  09.10.2026  ·  PMID 42850455</w:t>
      </w:r>
    </w:p>
    <w:p>
      <w:r>
        <w:t>RAND/UCLA-Konsens von 30 Experten in Italien zu System-Level-Empfehlungen für die Reorganisation der Alzheimer-Diagnostik und -Therapie im Zeitalter krankheitsmodifizierender Therapien: 3 Befragungsrunden zu 55 Aussagen über 9 Versorgungsbereiche.</w:t>
      </w:r>
    </w:p>
    <w:p>
      <w:r>
        <w:rPr>
          <w:b/>
        </w:rPr>
        <w:t xml:space="preserve">Ergebnis: </w:t>
      </w:r>
      <w:r>
        <w:t>Konsens wurde für alle 55 Aussagen erreicht mit hoher Bewertung der Angemessenheit und Implementierungspriorität. Es wurde ein regionalnetzbasiertes Modell mit definierten Zugangswegen aus der Hausarztpraxis entwickelt: Nicht-gebrechliche Patienten zur diagnostischen Bewertung an Spoke-Zentren, potentiell therapiegeeignete an Hub-Zentren zur Bestätigung und multidisziplinären Bewertung. Standardisierte neuropsychologische und neuroradiologische Protokolle für Amyloid-assoziierte Bildgebungsanomalien (ARIA), progressive Adoption von Plasma-Biomarkern, Telemedizin und strukturierter Patientenaufklärung definiert.</w:t>
      </w:r>
    </w:p>
    <w:p>
      <w:r>
        <w:rPr>
          <w:b/>
          <w:sz w:val="19"/>
        </w:rPr>
        <w:t xml:space="preserve">Übertragbarkeit: </w:t>
      </w:r>
      <w:r>
        <w:rPr>
          <w:sz w:val="19"/>
        </w:rPr>
        <w:t>Italien, Konsens-Verfahren – vergleichbares Sozialversicherungssystem, direkter Transfer der Netzwerk-Architektur</w:t>
      </w:r>
    </w:p>
    <w:p>
      <w:r>
        <w:rPr>
          <w:color w:val="5A7D3A"/>
          <w:sz w:val="18"/>
        </w:rPr>
        <w:t>https://pubmed.ncbi.nlm.nih.gov/42850455/</w:t>
      </w:r>
    </w:p>
    <w:p>
      <w:pPr>
        <w:pStyle w:val="Heading2"/>
      </w:pPr>
      <w:r>
        <w:t>Roadmap für die Evidenzreife von Biomarkern in der Psychiatrie: von Entdeckung zu Klinikanwendung</w:t>
      </w:r>
    </w:p>
    <w:p>
      <w:r>
        <w:rPr>
          <w:i/>
          <w:color w:val="666666"/>
          <w:sz w:val="18"/>
        </w:rPr>
        <w:t>Baune BT  ·  Lancet Psychiatry  ·  05.10.2026  ·  PMID 42833240</w:t>
      </w:r>
    </w:p>
    <w:p>
      <w:r>
        <w:t>Personal View zur Konzeptualisierung einer Translation Evidence Map (TEM) zur Bewertung von Ansprüchen in der Präzisionspsychiatrie: Die Map stuft Aussagen von Level 0 (Anwendungsfall oder Entdeckungs-Statement) bis Level 6 (Post-Deployment-Monitoring) auf Basis von Messzuverlässigkeit, generalisierbarer Inferenz, Entscheidungswert, sicherer Umsetzung und Proportionalität zu Risiko, Bedarf und Untätigkeit.</w:t>
      </w:r>
    </w:p>
    <w:p>
      <w:r>
        <w:rPr>
          <w:b/>
        </w:rPr>
        <w:t xml:space="preserve">Ergebnis: </w:t>
      </w:r>
      <w:r>
        <w:t>Das Konzept definiert explizit: Level 0=Definition des Use Case, Level 1=Proof-of-Concept, Level 2=Validierung in repräsentativen Kohorten, Level 3=Vorhersage-Modell-Qualifizierung, Level 4=Regulatorische Zulassung, Level 5=klinische Implementierung, Level 6=Monitoring post-Deployment. Die Map identifiziert die höchstverteidigarste Aussage über Komponenten mit ungleicher Reife und den nächsten Evidenzschritt. Beispiele: entzündliche und ziruitbasierte Depressionsschichtung, Psychose-Rezidiv-Überwachung, Suizidalität-Überwachung.</w:t>
      </w:r>
    </w:p>
    <w:p>
      <w:r>
        <w:rPr>
          <w:b/>
          <w:sz w:val="19"/>
        </w:rPr>
        <w:t xml:space="preserve">Übertragbarkeit: </w:t>
      </w:r>
      <w:r>
        <w:rPr>
          <w:sz w:val="19"/>
        </w:rPr>
        <w:t>Deutschland, Universität Münster – konzeptioneller Rahmen zur Bewertung von Biomarker-Implementierungen im deutschsprachigen Raum</w:t>
      </w:r>
    </w:p>
    <w:p>
      <w:r>
        <w:rPr>
          <w:color w:val="5A7D3A"/>
          <w:sz w:val="18"/>
        </w:rPr>
        <w:t>https://pubmed.ncbi.nlm.nih.gov/42833240/</w:t>
      </w:r>
    </w:p>
    <w:p>
      <w:pPr>
        <w:pStyle w:val="Heading1"/>
      </w:pPr>
      <w:r>
        <w:t>Aufgenommen am 19.10.2026</w:t>
      </w:r>
    </w:p>
    <w:p>
      <w:pPr>
        <w:pStyle w:val="Heading2"/>
      </w:pPr>
      <w:r>
        <w:t>Metakognitive Therapie für Zwangsstörung in Pakistan: Symptomreduktion stärker als Standardversorgung</w:t>
      </w:r>
    </w:p>
    <w:p>
      <w:r>
        <w:rPr>
          <w:i/>
          <w:color w:val="666666"/>
          <w:sz w:val="18"/>
        </w:rPr>
        <w:t>Anwar S et al.  ·  Depress Anxiety  ·  15.10.2026  ·  PMID 42890135</w:t>
      </w:r>
    </w:p>
    <w:p>
      <w:r>
        <w:t>Multizentrische RCT mit 76 Erwachsenen mit Zwangsstörung in pakistanischen ambulanten Diensten, randomisiert auf 12 Wochensitzungen metakognitive Therapie (MCT, n=38) oder dokumentierte Standardversorgung (TAU, n=38); Messung von Yale-Brown Obsessive-Compulsive Scale und Metacognitions Questionnaire über Baseline, Post-Treatment und 6-Monat-Follow-up.</w:t>
      </w:r>
    </w:p>
    <w:p>
      <w:r>
        <w:rPr>
          <w:b/>
        </w:rPr>
        <w:t xml:space="preserve">Ergebnis: </w:t>
      </w:r>
      <w:r>
        <w:t>MCT führte zu stärkeren Reduktionen in Zwangsstörungs-Schweregrad als TAU (F(1,81; 134)=11,30; p&lt;0,001), mit mittleren Differenzen von -4,00 bei Post-Treatment und -6,92 bei Follow-up (beide p&lt;0,001); häufigere Behandlungsresponse bei MCT; metakognitive Überzeugungen wurden reduziert und Gewinne bei Follow-up erhalten; der vorspezifizierte indirekte Effekt durch Post-Treatment-Überzeugungen wurde jedoch nicht unterstützt (β=-0,01).</w:t>
      </w:r>
    </w:p>
    <w:p>
      <w:r>
        <w:rPr>
          <w:b/>
          <w:sz w:val="19"/>
        </w:rPr>
        <w:t xml:space="preserve">Übertragbarkeit: </w:t>
      </w:r>
      <w:r>
        <w:rPr>
          <w:sz w:val="19"/>
        </w:rPr>
        <w:t>Nicht-westlicher Kontext mit Validierung in Low-Ressourcen-Setting – Generalisierbarkeit auf Deutschland unsicher</w:t>
      </w:r>
    </w:p>
    <w:p>
      <w:r>
        <w:rPr>
          <w:color w:val="5A7D3A"/>
          <w:sz w:val="18"/>
        </w:rPr>
        <w:t>https://pubmed.ncbi.nlm.nih.gov/42890135/</w:t>
      </w:r>
    </w:p>
    <w:p>
      <w:pPr>
        <w:pStyle w:val="Heading2"/>
      </w:pPr>
      <w:r>
        <w:t>Reisen im Alter: Explorationen senken Angst, Nostalgisches stärkt Lebenssinn</w:t>
      </w:r>
    </w:p>
    <w:p>
      <w:r>
        <w:rPr>
          <w:i/>
          <w:color w:val="666666"/>
          <w:sz w:val="18"/>
        </w:rPr>
        <w:t>Li R et al.  ·  Medicine (Baltimore)  ·  16.10.2026  ·  PMID 42888552</w:t>
      </w:r>
    </w:p>
    <w:p>
      <w:r>
        <w:t>Prospektive Kohortenstudie mit 5.482 älteren Erwachsenen aus Südchina; Latente Klassenanalyse klassifizierte Teilnehmer nach Reisemotivation (Nostalgie-dominant, Explorations-dominant, gemischt-aktiv, inaktiv); Angst und Sinn im Leben wurden in Nachfolgeuntersuchung gemessen; lineare Regression, Strukturgleichungsmodellierung und Subgruppenanalysen angewandt.</w:t>
      </w:r>
    </w:p>
    <w:p>
      <w:r>
        <w:rPr>
          <w:b/>
        </w:rPr>
        <w:t xml:space="preserve">Ergebnis: </w:t>
      </w:r>
      <w:r>
        <w:t>Gemischte aktive Reisen waren am stärksten mit niedrigeren Angststufen assoziiert (β=-1,22; 95%-KI -1,55 bis -0,89) und höheren Sinn-im-Leben-Werten (β=0,58; 95%-KI 0,35 bis 0,81); Explorations-dominante Reisen signifikant mit niedrigeren Angststufen (β=-0,92; 95%-KI -1,24 bis -0,60), 33,7% der Assoziation durch psychologisches Kapital vermittelt; Nostalgie-dominante Reisen mit höherem Sinn im Leben (β=0,27; 95%-KI 0,05 bis 0,49), Selbstkontinuität vermittelte Assoziation; Assoziation zwischen aktiver Reise und niedriger Angst stärker bei älteren Erwachsenen mit niedriger sozialer Unterstützung.</w:t>
      </w:r>
    </w:p>
    <w:p>
      <w:r>
        <w:rPr>
          <w:b/>
          <w:sz w:val="19"/>
        </w:rPr>
        <w:t xml:space="preserve">Übertragbarkeit: </w:t>
      </w:r>
      <w:r>
        <w:rPr>
          <w:sz w:val="19"/>
        </w:rPr>
        <w:t>China – Versorgungskontext unterscheidet sich; aber Befunde zu Freizeitaktivitäten und psychischem Wohlbefinden können für präventive Interventionen in Deutschland relevant sein</w:t>
      </w:r>
    </w:p>
    <w:p>
      <w:r>
        <w:rPr>
          <w:color w:val="5A7D3A"/>
          <w:sz w:val="18"/>
        </w:rPr>
        <w:t>https://pubmed.ncbi.nlm.nih.gov/42888552/</w:t>
      </w:r>
    </w:p>
    <w:p>
      <w:pPr>
        <w:pStyle w:val="Heading2"/>
      </w:pPr>
      <w:r>
        <w:t>Gefängnispersonal in Kanada: Frauen haben weniger Stigma, höhere Hilfeinanspruchnahme</w:t>
      </w:r>
    </w:p>
    <w:p>
      <w:r>
        <w:rPr>
          <w:i/>
          <w:color w:val="666666"/>
          <w:sz w:val="18"/>
        </w:rPr>
        <w:t>Ricciardelli R et al.  ·  BMC Psychol  ·  22.07.2026  ·  PMID 42888455</w:t>
      </w:r>
    </w:p>
    <w:p>
      <w:r>
        <w:t>Nationale Querschnittsstudie mit 3.740 Justizbeamten aus allen kanadischen Provinz- und Territorialstrafvollzugsdiensten; Messung von psychischer Gesundheitskompetenz, Stigma und Intention zur Inanspruchnahme von Diensten stratifiziert nach Demografie, Berufsgruppe und früherer Diagnose einer psychischen Störung.</w:t>
      </w:r>
    </w:p>
    <w:p>
      <w:r>
        <w:rPr>
          <w:b/>
        </w:rPr>
        <w:t xml:space="preserve">Ergebnis: </w:t>
      </w:r>
      <w:r>
        <w:t>Frauen berichteten signifikant höhere psychische Gesundheitskompetenz und Inanspruchnahmeabsicht sowie niedrigeres Stigma als Männer (alle p&lt;0,001; Cohen's d Wissensunterschiede -0,31, Stigma 0,44, Inanspruchnahme -0,23); jüngere Arbeitskräfte zeigten niedrigeres Stigma (p&lt;0,01, η²=0,013), 21-29-Jährige niedrigere Inanspruchnahmeabsicht als ältere Gruppen; höhere Bildung mit höherer Kompetenz und niedrigerem Stigma (p&lt;0,001; η²=0,028 bzw. 0,026) assoziiert; signifikante provinziale/territoriale und berufliche Unterschiede beobachtet.</w:t>
      </w:r>
    </w:p>
    <w:p>
      <w:r>
        <w:rPr>
          <w:b/>
          <w:sz w:val="19"/>
        </w:rPr>
        <w:t xml:space="preserve">Übertragbarkeit: </w:t>
      </w:r>
      <w:r>
        <w:rPr>
          <w:sz w:val="19"/>
        </w:rPr>
        <w:t>Kanada – vergleichbares englischsprachiges System, aber unterschiedliche Gefängnisorganisation</w:t>
      </w:r>
    </w:p>
    <w:p>
      <w:r>
        <w:rPr>
          <w:color w:val="5A7D3A"/>
          <w:sz w:val="18"/>
        </w:rPr>
        <w:t>https://pubmed.ncbi.nlm.nih.gov/42888455/</w:t>
      </w:r>
    </w:p>
    <w:p>
      <w:pPr>
        <w:pStyle w:val="Heading2"/>
      </w:pPr>
      <w:r>
        <w:t>Amygdala-Neurofeedback zusätzlich zu DBT bei Borderline-Störung: keine zusätzliche klinische Wirkung</w:t>
      </w:r>
    </w:p>
    <w:p>
      <w:r>
        <w:rPr>
          <w:i/>
          <w:color w:val="666666"/>
          <w:sz w:val="18"/>
        </w:rPr>
        <w:t>Hofmanová M et al.  ·  BMC Psychiatry  ·  16.10.2026  ·  PMID 42888408</w:t>
      </w:r>
    </w:p>
    <w:p>
      <w:r>
        <w:t>Randomisierte Pilotstudie an 36 Patienten mit Borderline-Persönlichkeitsstörung und residualen Symptomen, die während einer stationären dialektischen Verhaltenstherapie (DBT) entweder zusätzlich eine Echtzeit-fMRI-Amygdala-Neurofeedback-Intervention oder nur DBT erhielten; Messung der Veränderungen in alltäglicher affektiver Instabilität über 6 Monate.</w:t>
      </w:r>
    </w:p>
    <w:p>
      <w:r>
        <w:rPr>
          <w:b/>
        </w:rPr>
        <w:t xml:space="preserve">Ergebnis: </w:t>
      </w:r>
      <w:r>
        <w:t>Teilnehmer regulierten erfolgreich die Amygdala-Aktivität herunter und zeigten Verbesserungen in negativem Affekt und affektiver Instabilität über die Zeit, aber die Amygdala-Neurofeedback-Gruppe zeigte keine konsistente Überlegenheit gegenüber der Kontrollgruppe in den Selbstberichten oder den primären BSL-23-Ergebnissen, die nach Entlassung in beiden Gruppen anstiegen. Die neuroimaging-Befunde deuteten auf vorübergehende Reduktionen der Amygdala-Aktivität und stabilere Reaktivität über Zeit hin, ohne dass sich dies in stärkere klinische Gewinne übersetzt hätte.</w:t>
      </w:r>
    </w:p>
    <w:p>
      <w:r>
        <w:rPr>
          <w:b/>
          <w:sz w:val="19"/>
        </w:rPr>
        <w:t xml:space="preserve">Übertragbarkeit: </w:t>
      </w:r>
      <w:r>
        <w:rPr>
          <w:sz w:val="19"/>
        </w:rPr>
        <w:t>Deutschland – deutsche Universitätskliniken mit vergleichbarem Forschungsstandard</w:t>
      </w:r>
    </w:p>
    <w:p>
      <w:r>
        <w:rPr>
          <w:color w:val="5A7D3A"/>
          <w:sz w:val="18"/>
        </w:rPr>
        <w:t>https://pubmed.ncbi.nlm.nih.gov/42888408/</w:t>
      </w:r>
    </w:p>
    <w:p>
      <w:pPr>
        <w:pStyle w:val="Heading2"/>
      </w:pPr>
      <w:r>
        <w:t>Nach Schlaganfall kognitiven Abbau verhindern: viele Interventionen wirken, Evidenzqualität niedrig</w:t>
      </w:r>
    </w:p>
    <w:p>
      <w:r>
        <w:rPr>
          <w:i/>
          <w:color w:val="666666"/>
          <w:sz w:val="18"/>
        </w:rPr>
        <w:t>Tang EYH et al.  ·  Eur Stroke J  ·  05.10.2026  ·  PMID 42886840</w:t>
      </w:r>
    </w:p>
    <w:p>
      <w:r>
        <w:t>Umbrella-Review von systematischen Übersichten mit Daten aus 747 RCTs (57.176 Teilnehmer) zu pharmakologischen und nicht-pharmakologischen Interventionen für kognitiven Abbau nach Schlaganfall; Messung von globaler Kognition (z.B. Mini-Mental State Examination) über alle Schlaganfallschweregrade.</w:t>
      </w:r>
    </w:p>
    <w:p>
      <w:r>
        <w:rPr>
          <w:b/>
        </w:rPr>
        <w:t xml:space="preserve">Ergebnis: </w:t>
      </w:r>
      <w:r>
        <w:t>69 systematische Übersichten eingeschlossen; die meisten Interventionstypen (37 Kategorien, einzelne und kombinierte Modalitäten wie Akupunktur, Bewegung, kognitive Rehabilitation) waren mit statistisch signifikanten Verbesserungen der globalen Kognition assoziiert; erhebliche Heterogenität und breite Vorhersageintervalle deuten darauf hin, dass Effektgrößen zwischen Populationen und Settings erheblich variieren; die meisten eingeschlossenen Übersichten hatten kritisch niedrige Qualität mit methodischen Einschränkungen (AMSTAR2).</w:t>
      </w:r>
    </w:p>
    <w:p>
      <w:r>
        <w:rPr>
          <w:b/>
          <w:sz w:val="19"/>
        </w:rPr>
        <w:t xml:space="preserve">Übertragbarkeit: </w:t>
      </w:r>
      <w:r>
        <w:rPr>
          <w:sz w:val="19"/>
        </w:rPr>
        <w:t>UK-geleitet – europäische Schlaganfallversorgung, aber: Vertrauensgrad in Evidenz niedrig</w:t>
      </w:r>
    </w:p>
    <w:p>
      <w:r>
        <w:rPr>
          <w:color w:val="5A7D3A"/>
          <w:sz w:val="18"/>
        </w:rPr>
        <w:t>https://pubmed.ncbi.nlm.nih.gov/42886840/</w:t>
      </w:r>
    </w:p>
    <w:p>
      <w:pPr>
        <w:pStyle w:val="Heading2"/>
      </w:pPr>
      <w:r>
        <w:t>Imagery Rescripting gegen Abhängigkeit in Gewaltbeziehungen: signifikante Verbesserung</w:t>
      </w:r>
    </w:p>
    <w:p>
      <w:r>
        <w:rPr>
          <w:i/>
          <w:color w:val="666666"/>
          <w:sz w:val="18"/>
        </w:rPr>
        <w:t>Pugliese E et al.  ·  Clin Psychol Psychother  ·  Sept. 2026  ·  PMID 42786889</w:t>
      </w:r>
    </w:p>
    <w:p>
      <w:r>
        <w:t>Proof-of-Concept-Studie mit 18 Frauen als Überlebende von Partnergewalt, die eine 13-Session-Intervention (Imagery Rescripting für Pathologische Affektive Abhängigkeit) in italienischen Anti-Gewalt-Diensten erhielten; gemessen wurden Abhängigkeitssymptome, Rückkehrabsicht zur missbräuchlichen Beziehung, Traumasymptome und Resilienz.</w:t>
      </w:r>
    </w:p>
    <w:p>
      <w:r>
        <w:rPr>
          <w:b/>
        </w:rPr>
        <w:t xml:space="preserve">Ergebnis: </w:t>
      </w:r>
      <w:r>
        <w:t>Signifikante Reduktionen in Pathologischer Affektiver Abhängigkeit (p&lt;0,05), Beziehungsverpflichtung und Absicht zur Rückkehr über den Behandlungsverlauf; Verbesserungen in Traumasymptomen (p&lt;0,05), psychologischem Wohlbefinden und Resilienz von Baseline bis Post-Treatment; Veränderungen in den primären relationalen Outcomes und Resilienz blieben nach 1-Monat-Nachuntersuchung weitgehend erhalten, während Traumasymptome leicht abnahmen, aber signifikant verbessert gegenüber Baseline blieben.</w:t>
      </w:r>
    </w:p>
    <w:p>
      <w:r>
        <w:rPr>
          <w:b/>
          <w:sz w:val="19"/>
        </w:rPr>
        <w:t xml:space="preserve">Übertragbarkeit: </w:t>
      </w:r>
      <w:r>
        <w:rPr>
          <w:sz w:val="19"/>
        </w:rPr>
        <w:t>Italien – vergleichbarer europäischer Versorgungskontext in Anti-Gewalt-Diensten</w:t>
      </w:r>
    </w:p>
    <w:p>
      <w:r>
        <w:rPr>
          <w:color w:val="5A7D3A"/>
          <w:sz w:val="18"/>
        </w:rPr>
        <w:t>https://pubmed.ncbi.nlm.nih.gov/42786889/</w:t>
      </w:r>
    </w:p>
    <w:p>
      <w:pPr>
        <w:pStyle w:val="Heading1"/>
      </w:pPr>
      <w:r>
        <w:t>Aufgenommen am 18.10.2026</w:t>
      </w:r>
    </w:p>
    <w:p>
      <w:pPr>
        <w:pStyle w:val="Heading2"/>
      </w:pPr>
      <w:r>
        <w:t>Cybermobbing als Mediator: Warum Social Media für Minderheitsgeschlecht gefährlicher ist</w:t>
      </w:r>
    </w:p>
    <w:p>
      <w:r>
        <w:rPr>
          <w:i/>
          <w:color w:val="666666"/>
          <w:sz w:val="18"/>
        </w:rPr>
        <w:t>Pu Y et al.  ·  J Res Adolesc  ·  Dez. 2026  ·  PMID 42888917</w:t>
      </w:r>
    </w:p>
    <w:p>
      <w:r>
        <w:t>US-Querschnittstudie mit 12.773 Jugendlichen aus der Youth Risk Behavior Survey 2023 zu Assoziation zwischen Social-Media-Nutzung, Cybermobbing und psychischen Belastungen (Traurigkeit, Suizidgedanken), stratifiziert nach sexueller Orientierung und Geschlechtsidentität.</w:t>
      </w:r>
    </w:p>
    <w:p>
      <w:r>
        <w:rPr>
          <w:b/>
        </w:rPr>
        <w:t xml:space="preserve">Ergebnis: </w:t>
      </w:r>
      <w:r>
        <w:t>Assoziation zwischen höherer Social-Media-Nutzung und Suizidgedanken wurde größtenteils durch Cybermobbing erklärt. Sexuelle und geschlechtliche Minderheiten erlebten trotz gleicher Nutzungshäufigkeit mehr Cybermobbing und stärkere mentale Auswirkungen (Minoritäts-Stress-Prozess): Das Risiko psychischer Belastung war bei identischem Online-Verhalten für diese Gruppen höher.</w:t>
      </w:r>
    </w:p>
    <w:p>
      <w:r>
        <w:rPr>
          <w:b/>
          <w:sz w:val="19"/>
        </w:rPr>
        <w:t xml:space="preserve">Übertragbarkeit: </w:t>
      </w:r>
      <w:r>
        <w:rPr>
          <w:sz w:val="19"/>
        </w:rPr>
        <w:t>USA, aber Mechanismus (Minderheits-Stress durch Diskriminierung) ist universell und relevant für deutsche Prävention bei vulnerablen Jugendlichen online.</w:t>
      </w:r>
    </w:p>
    <w:p>
      <w:r>
        <w:rPr>
          <w:color w:val="5A7D3A"/>
          <w:sz w:val="18"/>
        </w:rPr>
        <w:t>https://pubmed.ncbi.nlm.nih.gov/42888917/</w:t>
      </w:r>
    </w:p>
    <w:p>
      <w:pPr>
        <w:pStyle w:val="Heading2"/>
      </w:pPr>
      <w:r>
        <w:t>Glücksspielstörung: Komorbidität und Behandlungszugang in Schweden</w:t>
      </w:r>
    </w:p>
    <w:p>
      <w:r>
        <w:rPr>
          <w:i/>
          <w:color w:val="666666"/>
          <w:sz w:val="18"/>
        </w:rPr>
        <w:t>Håkansson A et al.  ·  Harm Reduct J  ·  16.10.2026  ·  PMID 42888425</w:t>
      </w:r>
    </w:p>
    <w:p>
      <w:r>
        <w:t>Retrospektive Register- und Klinikkartenstudie zu 1.200 Patienten an einer spezialisierten Behandlungseinheit für Glücksspielstörung in Malmö (2015–2025), die physische und psychiatrische Komorbiditäten sowie vorherige Kontakte zum Gesundheitssystem dokumentiert.</w:t>
      </w:r>
    </w:p>
    <w:p>
      <w:r>
        <w:rPr>
          <w:b/>
        </w:rPr>
        <w:t xml:space="preserve">Ergebnis: </w:t>
      </w:r>
      <w:r>
        <w:t>Etwa 32 % der Patienten hatten zuvor formale Ausbildung in psychischer Gesundheitsversorgung für kritisch Kranke erhalten; 79 % berichteten, besser auf solche Situationen vorbereitet sein zu könnten durch zusätzliche Ausbildung. Die Studie wird Kontaktmuster vor Behandlung abbilden, um frühere Erkennung in anderen Versorgungssettings zu ermöglichen.</w:t>
      </w:r>
    </w:p>
    <w:p>
      <w:r>
        <w:rPr>
          <w:b/>
          <w:sz w:val="19"/>
        </w:rPr>
        <w:t xml:space="preserve">Übertragbarkeit: </w:t>
      </w:r>
      <w:r>
        <w:rPr>
          <w:sz w:val="19"/>
        </w:rPr>
        <w:t>Schweden, ähnliches Versicherungssystem; Glücksspiel ist Suchtversorgung mit Eigenfinanzierung.</w:t>
      </w:r>
    </w:p>
    <w:p>
      <w:r>
        <w:rPr>
          <w:color w:val="5A7D3A"/>
          <w:sz w:val="18"/>
        </w:rPr>
        <w:t>https://pubmed.ncbi.nlm.nih.gov/42888425/</w:t>
      </w:r>
    </w:p>
    <w:p>
      <w:pPr>
        <w:pStyle w:val="Heading2"/>
      </w:pPr>
      <w:r>
        <w:t>Partizipation von Betroffenen in Versorgungsforschung: Lernprozesse und Hürden</w:t>
      </w:r>
    </w:p>
    <w:p>
      <w:r>
        <w:rPr>
          <w:i/>
          <w:color w:val="666666"/>
          <w:sz w:val="18"/>
        </w:rPr>
        <w:t>Fox J et al.  ·  Health Expect  ·  Okt. 2026  ·  PMID 42886175</w:t>
      </w:r>
    </w:p>
    <w:p>
      <w:r>
        <w:t>Qualitative Fallstudie über 7 Jahre hinweg in England zur Zusammenarbeit zwischen Forschungsteam und Lived-Experience-Panel bei der Entwicklung einer Intervention für psychische Erkrankungen, mit Workshops und Reflexionsgruppen.</w:t>
      </w:r>
    </w:p>
    <w:p>
      <w:r>
        <w:rPr>
          <w:b/>
        </w:rPr>
        <w:t xml:space="preserve">Ergebnis: </w:t>
      </w:r>
      <w:r>
        <w:t>Partizipation bewirkte tangible Veränderungen an Studie und Intervention; Erfolg hing ab von Teamdynamik, stabiler Zusammensetzung des Panels und regelmäßiger reflexiver Lernprozesse. Konflikte in der Zusammenarbeit ('choppy waters') waren normal, erforderten aber Offenheit und Flexibilität zur positiven Auflösung.</w:t>
      </w:r>
    </w:p>
    <w:p>
      <w:r>
        <w:rPr>
          <w:b/>
          <w:sz w:val="19"/>
        </w:rPr>
        <w:t xml:space="preserve">Übertragbarkeit: </w:t>
      </w:r>
      <w:r>
        <w:rPr>
          <w:sz w:val="19"/>
        </w:rPr>
        <w:t>Großbritannien, ähnliche Versorgungsinfrastruktur; zeigt, wie Betroffenenpartizipation in Versorgung strukturiert und unterstützt werden kann.</w:t>
      </w:r>
    </w:p>
    <w:p>
      <w:r>
        <w:rPr>
          <w:color w:val="5A7D3A"/>
          <w:sz w:val="18"/>
        </w:rPr>
        <w:t>https://pubmed.ncbi.nlm.nih.gov/42886175/</w:t>
      </w:r>
    </w:p>
    <w:p>
      <w:pPr>
        <w:pStyle w:val="Heading2"/>
      </w:pPr>
      <w:r>
        <w:t>Off-Label-Verschreibungen in der Psychiatrie: Datengestützte Früherkennung</w:t>
      </w:r>
    </w:p>
    <w:p>
      <w:r>
        <w:rPr>
          <w:i/>
          <w:color w:val="666666"/>
          <w:sz w:val="18"/>
        </w:rPr>
        <w:t>Chevallier E et al.  ·  JMIR Form Res  ·  29.09.2026  ·  PMID 42809830</w:t>
      </w:r>
    </w:p>
    <w:p>
      <w:r>
        <w:t>Französische Machbarkeitsstudie zu automatisierter Detektion von Off-Label-Verschreibungen in der Psychiatrie mittels klinischer Datenbasis; 197 Patientenakten wurden analysiert, der Computer identifizierte 14 Wirkstoff-Diagnose-Kombinationen.</w:t>
      </w:r>
    </w:p>
    <w:p>
      <w:r>
        <w:rPr>
          <w:b/>
        </w:rPr>
        <w:t xml:space="preserve">Ergebnis: </w:t>
      </w:r>
      <w:r>
        <w:t>Gesamtpräzision (positive Vorhersagekraft) für Off-Label-Situationen: 51,3 % (101/197). Bei breiter Diagnose: 84,8 % (167/197). Hauptproblem waren zeitliche Diskrepanzen (48,7 % falsch klassifiziert) – z.B. Medikamenten vor oder nach dem Indexaufenthalt verabreicht. System eignet sich als sensitiver Vorfilter, erfordert aber Fachvalidation.</w:t>
      </w:r>
    </w:p>
    <w:p>
      <w:r>
        <w:rPr>
          <w:b/>
          <w:sz w:val="19"/>
        </w:rPr>
        <w:t xml:space="preserve">Übertragbarkeit: </w:t>
      </w:r>
      <w:r>
        <w:rPr>
          <w:sz w:val="19"/>
        </w:rPr>
        <w:t>Frankreich, vergleichbare Datenstruktur; zeigt, dass automatisierte Flaggung möglich ist, aber menschliche Expertise nicht ersetzen kann.</w:t>
      </w:r>
    </w:p>
    <w:p>
      <w:r>
        <w:rPr>
          <w:color w:val="5A7D3A"/>
          <w:sz w:val="18"/>
        </w:rPr>
        <w:t>https://pubmed.ncbi.nlm.nih.gov/42809830/</w:t>
      </w:r>
    </w:p>
    <w:p>
      <w:pPr>
        <w:pStyle w:val="Heading2"/>
      </w:pPr>
      <w:r>
        <w:t>Psychische Belastung bei bekanntem medizinischen Risiko: Keine Mehrbelastung bei Aortenerweiterung</w:t>
      </w:r>
    </w:p>
    <w:p>
      <w:r>
        <w:rPr>
          <w:i/>
          <w:color w:val="666666"/>
          <w:sz w:val="18"/>
        </w:rPr>
        <w:t>Nilsson F et al.  ·  BMC Cardiovasc Disord  ·  21.09.2026  ·  PMID 42768306</w:t>
      </w:r>
    </w:p>
    <w:p>
      <w:r>
        <w:t>Schwedische Bevölkerungsstudie mit 67 Patienten mit Aortenerweiterung ≥40 mm und 50 Kontrollpersonen aus 5.053 Einwohnern; Lebensqualität, psychische Belastung und körperliche Aktivität wurden erfasst.</w:t>
      </w:r>
    </w:p>
    <w:p>
      <w:r>
        <w:rPr>
          <w:b/>
        </w:rPr>
        <w:t xml:space="preserve">Ergebnis: </w:t>
      </w:r>
      <w:r>
        <w:t>Keine signifikanten Unterschiede in Lebensqualität (p &gt; 0,05), Angst (p = 0,228) oder Depression (p = 0,307) zwischen Patienten und Kontrollen. Wahrgenommener Stress unterschied sich marginal (p = 0,096). Körperliche Kapazität und Aktivität unterschieden sich nicht (p &gt; 0,17). Aortendurchmesser zeigte keine Korrelation mit Stress, Angst oder Depression.</w:t>
      </w:r>
    </w:p>
    <w:p>
      <w:r>
        <w:rPr>
          <w:b/>
          <w:sz w:val="19"/>
        </w:rPr>
        <w:t xml:space="preserve">Übertragbarkeit: </w:t>
      </w:r>
      <w:r>
        <w:rPr>
          <w:sz w:val="19"/>
        </w:rPr>
        <w:t>Schweden, populationsbasierte Kohortendaten; zeigt, dass allein das Wissen um ein asymptomatisches Risiko nicht zu klinisch relevanter psychischer Belastung führt.</w:t>
      </w:r>
    </w:p>
    <w:p>
      <w:r>
        <w:rPr>
          <w:color w:val="5A7D3A"/>
          <w:sz w:val="18"/>
        </w:rPr>
        <w:t>https://pubmed.ncbi.nlm.nih.gov/42768306/</w:t>
      </w:r>
    </w:p>
    <w:p>
      <w:pPr>
        <w:pStyle w:val="Heading2"/>
      </w:pPr>
      <w:r>
        <w:t>Schlaftherapie in der Gruppe: CBT-I senkt Einschlaflatenz um 20 Minuten</w:t>
      </w:r>
    </w:p>
    <w:p>
      <w:r>
        <w:rPr>
          <w:i/>
          <w:color w:val="666666"/>
          <w:sz w:val="18"/>
        </w:rPr>
        <w:t>Pérez-Manchón D et al.  ·  JMIR Hum Factors  ·  16.09.2026  ·  PMID 42748363</w:t>
      </w:r>
    </w:p>
    <w:p>
      <w:r>
        <w:t>Spanische Pilotstudie mit 40 Pflegestudierenden (Alter 18–25 Jahre), randomisiert zu Gruppen-CBT-I (n=20) oder Kontrolle (n=20) über 6 Wochen; objektive Messung mit Actigraphie und subjektive Schlafqualität nach PSQI.</w:t>
      </w:r>
    </w:p>
    <w:p>
      <w:r>
        <w:rPr>
          <w:b/>
        </w:rPr>
        <w:t xml:space="preserve">Ergebnis: </w:t>
      </w:r>
      <w:r>
        <w:t>Behandlungseffekt auf Einschlaflatenz: β = -19,78 min (95%-KI -33,83 bis -5,74), partielles η² = 0,194. Schlafdauer: β = 36,32 min (95%-KI -5,01 bis 77,64), η² = 0,086. Schlafeffizienz: β = 8,75% (95%-KI -0,97 bis 18,47), η² = 0,090. 65% der Interventionsgruppe bewerteten Programm als 'sehr gut'. Objektive zirkadiane Effekte eher klein.</w:t>
      </w:r>
    </w:p>
    <w:p>
      <w:r>
        <w:rPr>
          <w:b/>
          <w:sz w:val="19"/>
        </w:rPr>
        <w:t xml:space="preserve">Übertragbarkeit: </w:t>
      </w:r>
      <w:r>
        <w:rPr>
          <w:sz w:val="19"/>
        </w:rPr>
        <w:t>Spanien, aber CBT-I ist evidence-basierte Standardbehandlung; kleine Fallzahl und methodische Grenzen bleiben.</w:t>
      </w:r>
    </w:p>
    <w:p>
      <w:r>
        <w:rPr>
          <w:color w:val="5A7D3A"/>
          <w:sz w:val="18"/>
        </w:rPr>
        <w:t>https://pubmed.ncbi.nlm.nih.gov/42748363/</w:t>
      </w:r>
    </w:p>
    <w:p>
      <w:pPr>
        <w:pStyle w:val="Heading2"/>
      </w:pPr>
      <w:r>
        <w:t>Supervision als Wirkfaktor: Parallel-Prozess in der Behandlung von Persönlichkeitsstörungen</w:t>
      </w:r>
    </w:p>
    <w:p>
      <w:r>
        <w:rPr>
          <w:i/>
          <w:color w:val="666666"/>
          <w:sz w:val="18"/>
        </w:rPr>
        <w:t>Doering S et al.  ·  Psychodyn Psychiatry  ·  Sept. 2026  ·  PMID 42735083</w:t>
      </w:r>
    </w:p>
    <w:p>
      <w:r>
        <w:t>Expertenbeitrag zur Supervision in Transference-Focused Psychotherapy (TFP) bei Borderline-Persönlichkeitsstörung und beeinträchtigter Persönlichkeitsfunktionierung; Reflexion der Supervisorenfunktion und des Parallel-Prozesses.</w:t>
      </w:r>
    </w:p>
    <w:p>
      <w:r>
        <w:rPr>
          <w:b/>
        </w:rPr>
        <w:t xml:space="preserve">Ergebnis: </w:t>
      </w:r>
      <w:r>
        <w:t>Supervision ist Pflichtelement bei TFP und nutzt Videoaufzeichnungen aller Sitzungen. Der Supervisor schützt die Behandlung, übersieht externe Realität und Rahmen des Patienten, fokussiert dann auf therapeutische Beziehung (Übertragung) im Hier und Jetzt. Der Parallel-Prozess offenbart Behandlungsmuster und erzeugt affektive und kognitive Einsicht bei Kandidaten – ein bewährter Wirkfaktor für Supervisionsqualität.</w:t>
      </w:r>
    </w:p>
    <w:p>
      <w:r>
        <w:rPr>
          <w:b/>
          <w:sz w:val="19"/>
        </w:rPr>
        <w:t xml:space="preserve">Übertragbarkeit: </w:t>
      </w:r>
      <w:r>
        <w:rPr>
          <w:sz w:val="19"/>
        </w:rPr>
        <w:t>Österreich/Deutschland/Niederlande/Spanien; beschreibt Supervision als Qualitätssicherungsinstrument mit bekanntem Stellenwert auch in deutschem Versorgungssystem.</w:t>
      </w:r>
    </w:p>
    <w:p>
      <w:r>
        <w:rPr>
          <w:color w:val="5A7D3A"/>
          <w:sz w:val="18"/>
        </w:rPr>
        <w:t>https://pubmed.ncbi.nlm.nih.gov/42735083/</w:t>
      </w:r>
    </w:p>
    <w:p>
      <w:pPr>
        <w:pStyle w:val="Heading1"/>
      </w:pPr>
      <w:r>
        <w:t>Aufgenommen am 17.10.2026</w:t>
      </w:r>
    </w:p>
    <w:p>
      <w:pPr>
        <w:pStyle w:val="Heading2"/>
      </w:pPr>
      <w:r>
        <w:t>Psychose-Frühintervention: Motivierendes Engagement der Bezugspersonen verbessert Ergebnisse</w:t>
      </w:r>
    </w:p>
    <w:p>
      <w:r>
        <w:rPr>
          <w:i/>
          <w:color w:val="666666"/>
          <w:sz w:val="18"/>
        </w:rPr>
        <w:t>Greenwood K et al.  ·  Early Interv Psychiatry  ·  Okt. 2026  ·  PMID 42886668</w:t>
      </w:r>
    </w:p>
    <w:p>
      <w:r>
        <w:t>Qualitative Studie mit 15 Klinikerinnen aus Early-Intervention-in-Psychosis-Services (EIP) zur Identifikation der Kernkomponenten eines therapeutischen Motivierungs- und Engagementmodells für Bezugspersonen.</w:t>
      </w:r>
    </w:p>
    <w:p>
      <w:r>
        <w:rPr>
          <w:b/>
        </w:rPr>
        <w:t xml:space="preserve">Ergebnis: </w:t>
      </w:r>
      <w:r>
        <w:t>Das EYE-2-Modell definiert drei therapeutische Prozessthemen (Psychoedukation, motivierendes-Engagementbeziehung, frühe systemische Ansätze) und ein Ergebnis-Thema (bedeutungsvolle Recovery-Ergebnisse). 14 Implementierungs-Subthemen wurden auf Normalisierungsprozesstheorie-Konstrukte abgebildet. Das Modell wird als leicht umsetzbar bewertet und ist mit dem EIP-Ansatz hochgradig kompatibel, erfordert aber organisatorische Unterstützung und Schulung für Langzeithaltbarkeit.</w:t>
      </w:r>
    </w:p>
    <w:p>
      <w:r>
        <w:rPr>
          <w:b/>
          <w:sz w:val="19"/>
        </w:rPr>
        <w:t xml:space="preserve">Übertragbarkeit: </w:t>
      </w:r>
      <w:r>
        <w:rPr>
          <w:sz w:val="19"/>
        </w:rPr>
        <w:t>Großbritannien, NHS-Trusts, Struktur der Frühinterventionsdienste vergleichbar mit deutschen Psychose-Spezialistenteams</w:t>
      </w:r>
    </w:p>
    <w:p>
      <w:r>
        <w:rPr>
          <w:color w:val="5A7D3A"/>
          <w:sz w:val="18"/>
        </w:rPr>
        <w:t>https://pubmed.ncbi.nlm.nih.gov/42886668/</w:t>
      </w:r>
    </w:p>
    <w:p>
      <w:pPr>
        <w:pStyle w:val="Heading2"/>
      </w:pPr>
      <w:r>
        <w:t>Supported Employment für traumatisierte junge Menschen: Vertrauen in Bezugsperson fördert Engagement</w:t>
      </w:r>
    </w:p>
    <w:p>
      <w:r>
        <w:rPr>
          <w:i/>
          <w:color w:val="666666"/>
          <w:sz w:val="18"/>
        </w:rPr>
        <w:t>Peters W et al.  ·  Early Interv Psychiatry  ·  Okt. 2026  ·  PMID 42885398</w:t>
      </w:r>
    </w:p>
    <w:p>
      <w:r>
        <w:t>Qualitative Studie mit zehn traumaexponierten jungen Menschen, die Trauma-informed Individual Placement and Support (TI-IPS) in einem australischen regionalen Jugenddienst erhalten haben; Interviews zu ihren Erfahrungen.</w:t>
      </w:r>
    </w:p>
    <w:p>
      <w:r>
        <w:rPr>
          <w:b/>
        </w:rPr>
        <w:t xml:space="preserve">Ergebnis: </w:t>
      </w:r>
      <w:r>
        <w:t>Junge Menschen beschrieben Vertrauen in den TI-IPS-Mitarbeiter als entscheidend für Arbeitsmotivation. Sie berichteten, sich im Kontakt mit dem Mitarbeiter sicher zu fühlen. Sie sprachen kurz und fokussiert über Trauma mit ihrem IPS-Mitarbeiter und erlebten dies als hilfreich und unterstützend. Das Modell kann erfolgreich in Jugenddiensten integriert werden.</w:t>
      </w:r>
    </w:p>
    <w:p>
      <w:r>
        <w:rPr>
          <w:b/>
          <w:sz w:val="19"/>
        </w:rPr>
        <w:t xml:space="preserve">Übertragbarkeit: </w:t>
      </w:r>
      <w:r>
        <w:rPr>
          <w:sz w:val="19"/>
        </w:rPr>
        <w:t>Australien, aber Modell der Trauma-informierten Unterstützung bei Arbeitsintegration für deutsche Fachverbünde zwischen Psychischen-Hilfen und Eingliederung relevant</w:t>
      </w:r>
    </w:p>
    <w:p>
      <w:r>
        <w:rPr>
          <w:color w:val="5A7D3A"/>
          <w:sz w:val="18"/>
        </w:rPr>
        <w:t>https://pubmed.ncbi.nlm.nih.gov/42885398/</w:t>
      </w:r>
    </w:p>
    <w:p>
      <w:pPr>
        <w:pStyle w:val="Heading2"/>
      </w:pPr>
      <w:r>
        <w:t>Demenz-Versicherungsmodelle: Medicare Advantage und Standardversicherung zeigen ähnliche Nutzung</w:t>
      </w:r>
    </w:p>
    <w:p>
      <w:r>
        <w:rPr>
          <w:i/>
          <w:color w:val="666666"/>
          <w:sz w:val="18"/>
        </w:rPr>
        <w:t>Joseph JM et al.  ·  Health Serv Res  ·  Okt. 2026  ·  PMID 42885186</w:t>
      </w:r>
    </w:p>
    <w:p>
      <w:r>
        <w:t>Analyse der Gesundheitsleistungsnutzung in zwei US-amerikanischen Versicherungsmodellen (Medicare Advantage vs. Traditional Medicare) stratifiziert nach Demenzstatus anhand der Medicare-Current-Beneficiary-Survey 2018–2022 (N=43.995).</w:t>
      </w:r>
    </w:p>
    <w:p>
      <w:r>
        <w:rPr>
          <w:b/>
        </w:rPr>
        <w:t xml:space="preserve">Ergebnis: </w:t>
      </w:r>
      <w:r>
        <w:t>Bei Personen mit Demenz unterschied sich die Gesundheitsleistungsnutzung zwischen Versicherungsmodellen nicht signifikant für 7 von 8 Outcome-Maßen. Facharztbesuche waren in Medicare Advantage häufiger (5,2 Prozentpunkte; 95%-KI −0,1 bis 10,2). Bei Personen ohne Demenz war Medicare Advantage mit weniger Krankenhausambulanzbesuchen (−2,6; −3,7 bis −1,6) und geringerem berichtetem Bedarf für Pflegebesuche verbunden (−0,9; −1,5 bis −0,3). Effektmodifikation durch Demenzstatus nur signifikant für Facharztbesuche.</w:t>
      </w:r>
    </w:p>
    <w:p>
      <w:r>
        <w:rPr>
          <w:b/>
          <w:sz w:val="19"/>
        </w:rPr>
        <w:t xml:space="preserve">Übertragbarkeit: </w:t>
      </w:r>
      <w:r>
        <w:rPr>
          <w:sz w:val="19"/>
        </w:rPr>
        <w:t>USA, aber Befund zur vergleichbaren Nutzung unter verschiedenen Versicherungsmodellen informiert deutsche Debatte über Leistungssteuerung</w:t>
      </w:r>
    </w:p>
    <w:p>
      <w:r>
        <w:rPr>
          <w:color w:val="5A7D3A"/>
          <w:sz w:val="18"/>
        </w:rPr>
        <w:t>https://pubmed.ncbi.nlm.nih.gov/42885186/</w:t>
      </w:r>
    </w:p>
    <w:p>
      <w:pPr>
        <w:pStyle w:val="Heading2"/>
      </w:pPr>
      <w:r>
        <w:t>Nachtschicht im Gastgewerbe: Depression und Burnout verdreifachen Fehlzeitmeldungen</w:t>
      </w:r>
    </w:p>
    <w:p>
      <w:r>
        <w:rPr>
          <w:i/>
          <w:color w:val="666666"/>
          <w:sz w:val="18"/>
        </w:rPr>
        <w:t>Todorova Y et al.  ·  BMC Public Health  ·  22.07.2026  ·  PMID 42881435</w:t>
      </w:r>
    </w:p>
    <w:p>
      <w:r>
        <w:t>Querschnittstudie zur psychischen Gesundheit und Organisationsergebnissen bei 181 Arbeitskräften in Bristols Nachtgastronomie (66% unter 34 Jahren, 54% Frauen).</w:t>
      </w:r>
    </w:p>
    <w:p>
      <w:r>
        <w:rPr>
          <w:b/>
        </w:rPr>
        <w:t xml:space="preserve">Ergebnis: </w:t>
      </w:r>
      <w:r>
        <w:t>Über die Hälfte berichtete Anzeichen von Depression und/oder Burnout, ein Drittel moderate bis schwere Angststörungen. Präsentismus (bei Krankheit arbeiten) 85%, Kündigungsabsicht 40%. Angststörung (adjustierte OR 4,00; 95%-KI 1,59–10,65; p=0,004), Depression (aOR 3,44; 95%-KI 1,40–8,83; p=0,008) und Burnout (aOR 2,85; 95%-KI 1,17–7,36; p=0,024) waren mit höherer Wahrscheinlichkeit für Präsentismus assoziiert. Depression, schlechtes Wohlbefinden und Burnout waren mit niedrigerem Arbeitsengagement verbunden und erhöhten die Kündigungsabsicht.</w:t>
      </w:r>
    </w:p>
    <w:p>
      <w:r>
        <w:rPr>
          <w:b/>
          <w:sz w:val="19"/>
        </w:rPr>
        <w:t xml:space="preserve">Übertragbarkeit: </w:t>
      </w:r>
      <w:r>
        <w:rPr>
          <w:sz w:val="19"/>
        </w:rPr>
        <w:t>Großbritannien, aber Nachtschichteffekte und Präventionsbedarf in vulnerable Erwerbstätigengruppen international vergleichbar</w:t>
      </w:r>
    </w:p>
    <w:p>
      <w:r>
        <w:rPr>
          <w:color w:val="5A7D3A"/>
          <w:sz w:val="18"/>
        </w:rPr>
        <w:t>https://pubmed.ncbi.nlm.nih.gov/42881435/</w:t>
      </w:r>
    </w:p>
    <w:p>
      <w:pPr>
        <w:pStyle w:val="Heading2"/>
      </w:pPr>
      <w:r>
        <w:t>Beschäftigungstherapie in Suchtbehandlung: Teilnahme erhöht Verweildauer und Behandlungsabschluss</w:t>
      </w:r>
    </w:p>
    <w:p>
      <w:r>
        <w:rPr>
          <w:i/>
          <w:color w:val="666666"/>
          <w:sz w:val="18"/>
        </w:rPr>
        <w:t>Bardakçı MR et al.  ·  Drug Alcohol Rev  ·  Nov. 2026  ·  PMID 42881139</w:t>
      </w:r>
    </w:p>
    <w:p>
      <w:r>
        <w:t>Retrospektive Analyse von 332 stationär aufgenommenen Patienten mit Alkohol- oder Substanzkonsumstörungen in der Türkei, verglichen nach Verfügbarkeit von Beschäftigungstherapie-Angeboten (Musik, Malen, Sport).</w:t>
      </w:r>
    </w:p>
    <w:p>
      <w:r>
        <w:rPr>
          <w:b/>
        </w:rPr>
        <w:t xml:space="preserve">Ergebnis: </w:t>
      </w:r>
      <w:r>
        <w:t>In der Trainingsphase (mit Beschäftigungstherapie) zeigten Patienten signifikant längere Krankenhausaufenthalte (15,75 vs. 12,86 Tage; p&lt;0,005) und höhere Behandlungsabschlussraten (50,3% vs. 34,2%; p&lt;0,005). Die Gruppe ohne Therapieangebote hatte höhere Behandlungsmotivationswerte (p&lt;0,05), aber dies korrelierte nicht mit längerem Aufenthalt oder höheren Abschlussraten.</w:t>
      </w:r>
    </w:p>
    <w:p>
      <w:r>
        <w:rPr>
          <w:b/>
          <w:sz w:val="19"/>
        </w:rPr>
        <w:t xml:space="preserve">Übertragbarkeit: </w:t>
      </w:r>
      <w:r>
        <w:rPr>
          <w:sz w:val="19"/>
        </w:rPr>
        <w:t>Türkei, aber strukturelle Befunde zu Retention und Abschlussraten durch Aktivierungsangebote für deutsche Suchtfachverbünde übertragbar</w:t>
      </w:r>
    </w:p>
    <w:p>
      <w:r>
        <w:rPr>
          <w:color w:val="5A7D3A"/>
          <w:sz w:val="18"/>
        </w:rPr>
        <w:t>https://pubmed.ncbi.nlm.nih.gov/42881139/</w:t>
      </w:r>
    </w:p>
    <w:p>
      <w:pPr>
        <w:pStyle w:val="Heading2"/>
      </w:pPr>
      <w:r>
        <w:t>Antipsychotika-Zugang in Brasilien: Systematische Risikoanalyse in Pharmazie-Versorgung</w:t>
      </w:r>
    </w:p>
    <w:p>
      <w:r>
        <w:rPr>
          <w:i/>
          <w:color w:val="666666"/>
          <w:sz w:val="18"/>
        </w:rPr>
        <w:t>Felício LR et al.  ·  Cien Saude Colet  ·  09.10.2026  ·  PMID 42879620</w:t>
      </w:r>
    </w:p>
    <w:p>
      <w:r>
        <w:t>Risikomanagement-Analyse der Prozesse, die den Zugang zu Antipsychotika im brasilianischen SUS beeinflussen, verglichen zwischen Basis- und Spezialisierter Pharmazie-Versorgung.</w:t>
      </w:r>
    </w:p>
    <w:p>
      <w:r>
        <w:rPr>
          <w:b/>
        </w:rPr>
        <w:t xml:space="preserve">Ergebnis: </w:t>
      </w:r>
      <w:r>
        <w:t>20 Risikoereignisse wurden im Pharmazie-Versorgungszyklus identifiziert. Beide Komponenten zeigen hohe und sehr hohe Risiken (12 im Basis-komponenten 60%, 11 in der spezialisierten 55%, 7 geteilt). Die Analyse zeigt, dass beide Komponenten Risikominderung und Verbesserungsmöglichkeiten erfordern. Umgang und Übergänge zwischen Komponenten sollten von der Fähigkeit zur Risikominderung geleitet werden.</w:t>
      </w:r>
    </w:p>
    <w:p>
      <w:r>
        <w:rPr>
          <w:b/>
          <w:sz w:val="19"/>
        </w:rPr>
        <w:t xml:space="preserve">Übertragbarkeit: </w:t>
      </w:r>
      <w:r>
        <w:rPr>
          <w:sz w:val="19"/>
        </w:rPr>
        <w:t>Brasilien, Struktur vergleichbar mit deutschen Kassenleistungen und Fachambulatorien, Risikofrühwarnung relevant für Arzneimittellogistik</w:t>
      </w:r>
    </w:p>
    <w:p>
      <w:r>
        <w:rPr>
          <w:color w:val="5A7D3A"/>
          <w:sz w:val="18"/>
        </w:rPr>
        <w:t>https://pubmed.ncbi.nlm.nih.gov/42879620/</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