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09.09.2026  |  5 Studien  |  mental.m-vf.de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Long-Acting-Antipsychotika bei Menschen mit Behinderung: geringere Notfall- und Psychiatrie-Aufnahmen</w:t>
      </w:r>
    </w:p>
    <w:p>
      <w:r>
        <w:rPr>
          <w:i/>
          <w:color w:val="666666"/>
          <w:sz w:val="18"/>
        </w:rPr>
        <w:t>Leung SM et al.  ·  BMJ Ment Health  ·  08.09.2026  ·  PMID 42711066</w:t>
      </w:r>
    </w:p>
    <w:p>
      <w:r>
        <w:t>Selbstkontrollierte Fallserie von 1675 Patienten mit intellektueller Behinderung in Hong Kong, vergleichend LAIA (Long-Acting Injectable Antipsychotika) versus orale Antipsychotika über Zeiträume 2004-2023.</w:t>
      </w:r>
    </w:p>
    <w:p>
      <w:r>
        <w:rPr>
          <w:b/>
        </w:rPr>
        <w:t xml:space="preserve">Ergebnis: </w:t>
      </w:r>
      <w:r>
        <w:t>LAIA assoziiert mit 29% niedrigerem Risiko für Notfallabteilung-Visits (IRR 0,71, 95%-CI 0,51-0,98) und 9% niedrigerem Hospitalisierungsrisiko (IRR 0,91). Bei Patienten mit Schizophrenie/bipolarer Störung niedriger für psychiatrische Hospitalierungen und extrapyramidale Symptome (34% Reduktion). Warnung: Bei Patienten ohne diese Diagnosen höheres Risiko – Off-Label-Gebrauch sollte hinterfragt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Hong Kong, aber Befund zu Hospitalisierungsreduktion relevant für deutsche Versorgungspraxis bei Behinderung</w:t>
      </w:r>
    </w:p>
    <w:p>
      <w:r>
        <w:rPr>
          <w:color w:val="5A7D3A"/>
          <w:sz w:val="18"/>
        </w:rPr>
        <w:t>https://pubmed.ncbi.nlm.nih.gov/42711066/</w:t>
      </w:r>
    </w:p>
    <w:p>
      <w:pPr>
        <w:pStyle w:val="Heading2"/>
      </w:pPr>
      <w:r>
        <w:t>Nach 20 Jahren: 42% der Patienten mit Schizophrenie zeigen keine funktionale Besserung</w:t>
      </w:r>
    </w:p>
    <w:p>
      <w:r>
        <w:rPr>
          <w:i/>
          <w:color w:val="666666"/>
          <w:sz w:val="18"/>
        </w:rPr>
        <w:t>Abella M et al.  ·  Schizophr Bull  ·  20.08.2026  ·  PMID 42710093</w:t>
      </w:r>
    </w:p>
    <w:p>
      <w:r>
        <w:t>376 dänische Patienten mit Erstpsychose wurden über 20 Jahre verfolgt. Latente Wachstumsmischmodelle identifizierten unterschiedliche Funktionsverlaufsgruppen.</w:t>
      </w:r>
    </w:p>
    <w:p>
      <w:r>
        <w:rPr>
          <w:b/>
        </w:rPr>
        <w:t xml:space="preserve">Ergebnis: </w:t>
      </w:r>
      <w:r>
        <w:t>Drei Trajektorien: Funktionale Erholung (21%), moderate Besserung mit späterem Rückgang (37%), anhaltende Behinderung (42%). Schlechte Prädiktoren für Verlauf: männliches Geschlecht, höhere Negativsymptome, keine Schulabschluss. Nach 20 Jahren zeigten beeinträchtigte Gruppe schlechteste Remissionsraten, kognitive Funktion, Lebensqualität und höchstes Suizidrisiko.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System, zeigt Versorgungslücken auch in gutversorgten Ländern</w:t>
      </w:r>
    </w:p>
    <w:p>
      <w:r>
        <w:rPr>
          <w:color w:val="5A7D3A"/>
          <w:sz w:val="18"/>
        </w:rPr>
        <w:t>https://pubmed.ncbi.nlm.nih.gov/42710093/</w:t>
      </w:r>
    </w:p>
    <w:p>
      <w:pPr>
        <w:pStyle w:val="Heading2"/>
      </w:pPr>
      <w:r>
        <w:t>Coordinated Specialty Care reduzierte Krankenhausaufenthalte bei Erstpsychose</w:t>
      </w:r>
    </w:p>
    <w:p>
      <w:r>
        <w:rPr>
          <w:i/>
          <w:color w:val="666666"/>
          <w:sz w:val="18"/>
        </w:rPr>
        <w:t>Tayfur SN et al.  ·  Schizophr Bull  ·  20.08.2026  ·  PMID 42710092</w:t>
      </w:r>
    </w:p>
    <w:p>
      <w:r>
        <w:t>2951 Patienten mit Erstpsychose aus 87 Kliniken der USA wurden über 2 Jahre in Coordinated Specialty Care verfolgt (CSC: spezialisierte, integrierte ambulante Teams für Erstpsychose).</w:t>
      </w:r>
    </w:p>
    <w:p>
      <w:r>
        <w:rPr>
          <w:b/>
        </w:rPr>
        <w:t xml:space="preserve">Ergebnis: </w:t>
      </w:r>
      <w:r>
        <w:t>Bei Aufnahme waren 71,2% in den vorherigen 6 Monaten hospitalisiert. Nach CSC-Aufnahme sanken Hospitalisierungen deutlich und blieben über 2 Jahre niedrig. Frühere Hospitalisierung präsagte höheres Risiko (OR 1,52), kürzere Dauer der unbehandelten Psychose korrelierte paradox mit mehr Aufnahmen – Marker für schwere frühe 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USA-System, aber Kernbefund (CSC reduziert stationäre Tage) übertragbar auf deutsche frühzeitige Intervention</w:t>
      </w:r>
    </w:p>
    <w:p>
      <w:r>
        <w:rPr>
          <w:color w:val="5A7D3A"/>
          <w:sz w:val="18"/>
        </w:rPr>
        <w:t>https://pubmed.ncbi.nlm.nih.gov/42710092/</w:t>
      </w:r>
    </w:p>
    <w:p>
      <w:pPr>
        <w:pStyle w:val="Heading2"/>
      </w:pPr>
      <w:r>
        <w:t>Primary Care Behavioral Health reduzierte Wartezeiten um 30-39 %</w:t>
      </w:r>
    </w:p>
    <w:p>
      <w:r>
        <w:rPr>
          <w:i/>
          <w:color w:val="666666"/>
          <w:sz w:val="18"/>
        </w:rPr>
        <w:t>Nordgren LB et al.  ·  BMC Health Serv Res  ·  03.09.2026  ·  PMID 42706525</w:t>
      </w:r>
    </w:p>
    <w:p>
      <w:r>
        <w:t>In vier schwedischen Praxen wurde das PCBH-Modell (Primary Care Behavioral Health) implementiert, um die Verfügbarkeit von psychischer Versorgung in der Grundversorgung zu verbessern.</w:t>
      </w:r>
    </w:p>
    <w:p>
      <w:r>
        <w:rPr>
          <w:b/>
        </w:rPr>
        <w:t xml:space="preserve">Ergebnis: </w:t>
      </w:r>
      <w:r>
        <w:t>Wartezeiten für die erste Sprechstunde mit Behavioral Health Consultant sanken von 16 auf 10-11 Tage (30-39% Reduktion, p &lt; 0,001). Alle BHC-Termine reduzierten sich von 18 auf 13,7-14,2 Tage (21-24% Reduktion, p &lt; 0,001). BHC-Termine insgesamt stiegen um 21-34%, Patienten, die BHC-Leistungen erhielten, um 16-42%. Psychotrope Verschreibungen sanken um 14-18%.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Versicherungssystem, vergleichbare Dokumentation</w:t>
      </w:r>
    </w:p>
    <w:p>
      <w:r>
        <w:rPr>
          <w:color w:val="5A7D3A"/>
          <w:sz w:val="18"/>
        </w:rPr>
        <w:t>https://pubmed.ncbi.nlm.nih.gov/42706525/</w:t>
      </w:r>
    </w:p>
    <w:p>
      <w:pPr>
        <w:pStyle w:val="Heading2"/>
      </w:pPr>
      <w:r>
        <w:t>Resilienz in Trauma-Therapie: Therapeuten finden keine klare Operationalisierung</w:t>
      </w:r>
    </w:p>
    <w:p>
      <w:r>
        <w:rPr>
          <w:i/>
          <w:color w:val="666666"/>
          <w:sz w:val="18"/>
        </w:rPr>
        <w:t>Visser I et al.  ·  Eur J Psychotraumatol  ·  07.09.2026  ·  PMID 42704002</w:t>
      </w:r>
    </w:p>
    <w:p>
      <w:r>
        <w:t>23 Traumatherapeuten aus vier niederländischen akademischen Zentren für Kinder- und Jugendpsychiatrie wurden zu ihrer Operationalisierung von Resilienz in der klinischen Praxis befragt.</w:t>
      </w:r>
    </w:p>
    <w:p>
      <w:r>
        <w:rPr>
          <w:b/>
        </w:rPr>
        <w:t xml:space="preserve">Ergebnis: </w:t>
      </w:r>
      <w:r>
        <w:t>Therapeuten beschreiben Resilienz als multidimensionales und multifaktorielles Konstrukt, das schwer in konkrete therapeutische Ziele übersetzbar ist. Schlüsselbefund: Klinische Ambiguität erschwert die Integration von Resilienz in alltägliche Behandlung, weshalb praktische Leitfäden und gemeinsame Definitionen mit Therapeuten erforderlich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ähnliches Versicherungssystem und Ausbildungsstandards</w:t>
      </w:r>
    </w:p>
    <w:p>
      <w:r>
        <w:rPr>
          <w:color w:val="5A7D3A"/>
          <w:sz w:val="18"/>
        </w:rPr>
        <w:t>https://pubmed.ncbi.nlm.nih.gov/42704002/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