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Psychische Gesundheit</w:t>
      </w:r>
    </w:p>
    <w:p>
      <w:r>
        <w:rPr>
          <w:i/>
          <w:color w:val="666666"/>
          <w:sz w:val="18"/>
        </w:rPr>
        <w:t>Stand: 17.09.2026  |  6 Studien  |  mental.m-vf.de</w:t>
      </w:r>
    </w:p>
    <w:p>
      <w:pPr>
        <w:pStyle w:val="Heading1"/>
      </w:pPr>
      <w:r>
        <w:t>Aufgenommen am 17.09.2026</w:t>
      </w:r>
    </w:p>
    <w:p>
      <w:pPr>
        <w:pStyle w:val="Heading2"/>
      </w:pPr>
      <w:r>
        <w:t>Regulatory Reform der Methylphenidat-Verschreibung bei Erwachsenen in Frankreich</w:t>
      </w:r>
    </w:p>
    <w:p>
      <w:r>
        <w:rPr>
          <w:i/>
          <w:color w:val="666666"/>
          <w:sz w:val="18"/>
        </w:rPr>
        <w:t>Saint-Dizier C et al.  ·  BMJ Ment Health  ·  16.09.2026  ·  PMID 42749337</w:t>
      </w:r>
    </w:p>
    <w:p>
      <w:r>
        <w:t>Untersucht wurde, wie eine regulatorische Reform 2021 in Frankreich die Verfügbarkeit von Methylphenidat für erwachsene ADHS-Patienten verändert hat, die zuvor auf klinische Spezialisten beschränkt war.</w:t>
      </w:r>
    </w:p>
    <w:p>
      <w:r>
        <w:rPr>
          <w:b/>
        </w:rPr>
        <w:t xml:space="preserve">Ergebnis: </w:t>
      </w:r>
      <w:r>
        <w:t>Innerhalb von 3 Jahren nach der Reform stieg die wöchentliche Verschreibungsrate um initial 10,9 %, gefolgt von anhaltender Beschleunigung (0,7 % pro Woche), primär durch neue Behandlungen. Die Zugangsregelung war das Haupthindernis für historisch niedrige Behandlungsquoten.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Frankreich, ähnliches System wie Deutschland bei Kassenleistungen und Spezialistenzugang.</w:t>
      </w:r>
    </w:p>
    <w:p>
      <w:r>
        <w:rPr>
          <w:color w:val="5A7D3A"/>
          <w:sz w:val="18"/>
        </w:rPr>
        <w:t>https://pubmed.ncbi.nlm.nih.gov/42749337/</w:t>
      </w:r>
    </w:p>
    <w:p>
      <w:pPr>
        <w:pStyle w:val="Heading2"/>
      </w:pPr>
      <w:r>
        <w:t>Kommunikationsbarrieren in der Geburtshilfe für autistische Frauen in Brasilien</w:t>
      </w:r>
    </w:p>
    <w:p>
      <w:r>
        <w:rPr>
          <w:i/>
          <w:color w:val="666666"/>
          <w:sz w:val="18"/>
        </w:rPr>
        <w:t>Brilhante AVM et al.  ·  PLoS One  ·  16.09.2026  ·  PMID 42748175</w:t>
      </w:r>
    </w:p>
    <w:p>
      <w:r>
        <w:t>Qualitative Studie mit 34 autistischen Frauen (22 mit geringem, 12 mit höherem Unterstützungsbedarf) zu Kommunikationsbarrieren bei Schwangerschaft, Geburt und Wochenbett.</w:t>
      </w:r>
    </w:p>
    <w:p>
      <w:r>
        <w:rPr>
          <w:b/>
        </w:rPr>
        <w:t xml:space="preserve">Ergebnis: </w:t>
      </w:r>
      <w:r>
        <w:t>Drei Hauptbefunde: nicht erkannte autistische Kommunikationsbedürfnisse (Alexithymie, Reizüberempfindlichkeit, Bedarf für Vorhersehbarkeit); systemische institutionelle und zwischenmenschliche Kommunikationsfehler (Symptominvalidation, respektlose Behandlung, Ausschluss nicht-sprechender Frauen); respektvolle Kommunikation mit angepassten Strategien fördert Sicherheit und Autonomie.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Brasilien, niedrig-mittleres Einkommen, Befunde zu Barriereabbau übertragbar auf strukturelle Maßnahmen.</w:t>
      </w:r>
    </w:p>
    <w:p>
      <w:r>
        <w:rPr>
          <w:color w:val="5A7D3A"/>
          <w:sz w:val="18"/>
        </w:rPr>
        <w:t>https://pubmed.ncbi.nlm.nih.gov/42748175/</w:t>
      </w:r>
    </w:p>
    <w:p>
      <w:pPr>
        <w:pStyle w:val="Heading2"/>
      </w:pPr>
      <w:r>
        <w:t>Soziale Netzwerke von Migrantinnen beeinflussen psychische Gesundheit und Einsamkeit</w:t>
      </w:r>
    </w:p>
    <w:p>
      <w:r>
        <w:rPr>
          <w:i/>
          <w:color w:val="666666"/>
          <w:sz w:val="18"/>
        </w:rPr>
        <w:t>Sumerlin TS et al.  ·  Epidemiol Psychiatr Sci  ·  16.09.2026  ·  PMID 42745661</w:t>
      </w:r>
    </w:p>
    <w:p>
      <w:r>
        <w:t>Querschnittstudie mit 1.681 Hausangestellten aus den Philippinen und Indonesien in Macao zu Assoziationen zwischen sozialen Netzwerk-Charakteristika und psychischer Gesundheit, Einsamkeit und selbstbewerteter Gesundheit.</w:t>
      </w:r>
    </w:p>
    <w:p>
      <w:r>
        <w:rPr>
          <w:b/>
        </w:rPr>
        <w:t xml:space="preserve">Ergebnis: </w:t>
      </w:r>
      <w:r>
        <w:t>Bei philippinischen Migranten: höhere soziale Unterstützungshilfreichtum assoziiert mit weniger Einsamkeit (β = -0,15) und besserer Selbstbewertung der Gesundheit (β = 0,15); höhere Gegenseitigkeitsbelastung konsistent mit schlechteren Ergebnissen (z. B. PTSD: β = 0,21). Bei indonesischen Migranten Gegenseitigkeitsbelastung und finanzielle Unterstützung assoziiert mit Depression und Angst.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aber Befunde zu Migrantenvulnerabilität relevant für Deutschland bei Arbeitsmigranten und Sprachbarrieren.</w:t>
      </w:r>
    </w:p>
    <w:p>
      <w:r>
        <w:rPr>
          <w:color w:val="5A7D3A"/>
          <w:sz w:val="18"/>
        </w:rPr>
        <w:t>https://pubmed.ncbi.nlm.nih.gov/42745661/</w:t>
      </w:r>
    </w:p>
    <w:p>
      <w:pPr>
        <w:pStyle w:val="Heading2"/>
      </w:pPr>
      <w:r>
        <w:t>Integration psychischer Gesundheit in indische Primärversorgung scheitert an Kapazität</w:t>
      </w:r>
    </w:p>
    <w:p>
      <w:r>
        <w:rPr>
          <w:i/>
          <w:color w:val="666666"/>
          <w:sz w:val="18"/>
        </w:rPr>
        <w:t>Ghosh A et al.  ·  Int J Equity Health  ·  11.09.2026  ·  PMID 42745316</w:t>
      </w:r>
    </w:p>
    <w:p>
      <w:r>
        <w:t>Qualitative Implementierungsstudie in sieben indischen Bundesstaaten mit 211 Interviews und 28 Fokusgruppen zu Barrieren und Erfolgsfaktoren bei der Integration von psychischen Erkrankungen und Sucht in Primärversorgung.</w:t>
      </w:r>
    </w:p>
    <w:p>
      <w:r>
        <w:rPr>
          <w:b/>
        </w:rPr>
        <w:t xml:space="preserve">Ergebnis: </w:t>
      </w:r>
      <w:r>
        <w:t>Unterstützung für Integration vorhanden, aber massive Barrieren: unzureichende Kapazität, fehlende Protokolle, Stigma, mangelnde Medikamente, unterbrochene Überweisungsketten. Ungleicher Trainingsaufbau, zu kurze Sprechstunden. Positive Praktiken (Telemedizin, Gemeindemobilisierung) existieren, sind aber nicht systematisiert.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Indien, Entwicklungsland mit ähnlichen Schnittstellen-Problemen wie Deutschland bei Spaltung Psychiatrie-Primärversorgung.</w:t>
      </w:r>
    </w:p>
    <w:p>
      <w:r>
        <w:rPr>
          <w:color w:val="5A7D3A"/>
          <w:sz w:val="18"/>
        </w:rPr>
        <w:t>https://pubmed.ncbi.nlm.nih.gov/42745316/</w:t>
      </w:r>
    </w:p>
    <w:p>
      <w:pPr>
        <w:pStyle w:val="Heading2"/>
      </w:pPr>
      <w:r>
        <w:t>Stigma und unzureichende Versorgung bei Notfalleinsätzen für psychische Erkrankungen</w:t>
      </w:r>
    </w:p>
    <w:p>
      <w:r>
        <w:rPr>
          <w:i/>
          <w:color w:val="666666"/>
          <w:sz w:val="18"/>
        </w:rPr>
        <w:t>Ulvøy LE et al.  ·  BMC Psychiatry  ·  21.08.2026  ·  PMID 42745260</w:t>
      </w:r>
    </w:p>
    <w:p>
      <w:r>
        <w:t>Qualitative Interviews mit 23 Patienten mit psychischen Erkrankungen und/oder Suchtproblemen in Norwegen über ihre Erfahrungen mit Rettungsdiensten.</w:t>
      </w:r>
    </w:p>
    <w:p>
      <w:r>
        <w:rPr>
          <w:b/>
        </w:rPr>
        <w:t xml:space="preserve">Ergebnis: </w:t>
      </w:r>
      <w:r>
        <w:t>Patienten berichteten Stigmatisierung, herabwürdigende Haltungen, mangelnde körperliche Gesundheitsversorgung und begrenzte Einbeziehung in Entscheidungen. Frühere Erfahrungen mit anderen Gesundheitsdiensten prägten deutlich die Inanspruchnahme von Notfallhilfe.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Norwegen, vergleichbare nordeuropäische Versorgungsstruktur und Notfallsysteme.</w:t>
      </w:r>
    </w:p>
    <w:p>
      <w:r>
        <w:rPr>
          <w:color w:val="5A7D3A"/>
          <w:sz w:val="18"/>
        </w:rPr>
        <w:t>https://pubmed.ncbi.nlm.nih.gov/42745260/</w:t>
      </w:r>
    </w:p>
    <w:p>
      <w:pPr>
        <w:pStyle w:val="Heading2"/>
      </w:pPr>
      <w:r>
        <w:t>Perinatale Depression bei einer Million Frauen: Risikofaktoren und Screening</w:t>
      </w:r>
    </w:p>
    <w:p>
      <w:r>
        <w:rPr>
          <w:i/>
          <w:color w:val="666666"/>
          <w:sz w:val="18"/>
        </w:rPr>
        <w:t>Gabellini E et al.  ·  Arch Womens Ment Health  ·  16.09.2026  ·  PMID 42745087</w:t>
      </w:r>
    </w:p>
    <w:p>
      <w:r>
        <w:t>Register-basierte Studie mit 164.767 Frauen in Mailand zu Krankheitslast und Risikofaktoren für perinatale Depression, identifiziert durch Algorithmen und Screening (EPDS ≥8).</w:t>
      </w:r>
    </w:p>
    <w:p>
      <w:r>
        <w:rPr>
          <w:b/>
        </w:rPr>
        <w:t xml:space="preserve">Ergebnis: </w:t>
      </w:r>
      <w:r>
        <w:t>16,0 % zeigten Ereignisse perinataler Depression; unter gescreenten Frauen 23,6 % erhöhte Vulnerabilität. Risikofaktoren: psychische Belastung vor Schwangerschaft (OR 8,1), Alter &gt;40 Jahre (OR 1,3), Migrationsgeschichte (OR 1,1), Primiparie (OR 1,4).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 mit Sozialversicherungssystem, ähnlich deutschen Dokumentationspflichten und Screening-Strukturen.</w:t>
      </w:r>
    </w:p>
    <w:p>
      <w:r>
        <w:rPr>
          <w:color w:val="5A7D3A"/>
          <w:sz w:val="18"/>
        </w:rPr>
        <w:t>https://pubmed.ncbi.nlm.nih.gov/42745087/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Psychische Gesundheit</dc:title>
  <dc:subject/>
  <dc:creator>Monitor Versorgungsforschung</dc:creator>
  <cp:keywords/>
  <dc:description>generated by python-docx</dc:description>
  <cp:lastModifiedBy/>
  <cp:revision>1</cp:revision>
  <dcterms:created xsi:type="dcterms:W3CDTF">2026-09-17T06:00:00Z</dcterms:created>
  <dcterms:modified xsi:type="dcterms:W3CDTF">2026-09-17T06:00:00Z</dcterms:modified>
  <cp:category/>
</cp:coreProperties>
</file>