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Psychische Gesundheit</w:t>
      </w:r>
    </w:p>
    <w:p>
      <w:r>
        <w:rPr>
          <w:i/>
          <w:color w:val="666666"/>
          <w:sz w:val="18"/>
        </w:rPr>
        <w:t>Stand: 26.08.2026  |  9 Studien  |  mental.m-vf.de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Irische Kinderpsychiater kennen Rezeptgebührenbefreiung nicht – 61% unwissend</w:t>
      </w:r>
    </w:p>
    <w:p>
      <w:r>
        <w:rPr>
          <w:i/>
          <w:color w:val="666666"/>
          <w:sz w:val="18"/>
        </w:rPr>
        <w:t>Deighan O et al.  ·  Ir Med J  ·  20.08.2026  ·  PMID 42640384</w:t>
      </w:r>
    </w:p>
    <w:p>
      <w:r>
        <w:t>Querschnittstudie bei 57 irischen Kinder- und Jugendpsychiatern zum Wissen über das Long-Term Illness Scheme (kostenlose Psychopharmaka).</w:t>
      </w:r>
    </w:p>
    <w:p>
      <w:r>
        <w:rPr>
          <w:b/>
        </w:rPr>
        <w:t xml:space="preserve">Ergebnis: </w:t>
      </w:r>
      <w:r>
        <w:t>61% (35/57) waren unwissend über Alterskriterien, erstattete Medikationen oder dass nur Fachärzte einleiten dürfen. Barrieren: mangelnde Schulung, restriktive Kriterien, Burnout, administrative Last. Fachleute fehlt Wissensvermittlung zur Gebührenbefreiung.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HSE-finanziertes Programm, Schnittstellenproblem zwischen Wissen und Zugang</w:t>
      </w:r>
    </w:p>
    <w:p>
      <w:r>
        <w:rPr>
          <w:color w:val="5A7D3A"/>
          <w:sz w:val="18"/>
        </w:rPr>
        <w:t>https://pubmed.ncbi.nlm.nih.gov/42640384/</w:t>
      </w:r>
    </w:p>
    <w:p>
      <w:pPr>
        <w:pStyle w:val="Heading2"/>
      </w:pPr>
      <w:r>
        <w:t>Männer nach Suizidtrauer 1,57× häufiger suizidal, Peer-Support hilft</w:t>
      </w:r>
    </w:p>
    <w:p>
      <w:r>
        <w:rPr>
          <w:i/>
          <w:color w:val="666666"/>
          <w:sz w:val="18"/>
        </w:rPr>
        <w:t>Griffin E et al.  ·  Health Promot Int  ·  01.07.2026  ·  PMID 42639837</w:t>
      </w:r>
    </w:p>
    <w:p>
      <w:r>
        <w:t>Irische Bevölkerungsumfrage (2.413 durch Suizid Verlorene) zu psychischer Belastung, Suizidgedanken und Rolle von wahrgenommenem sozialen Support.</w:t>
      </w:r>
    </w:p>
    <w:p>
      <w:r>
        <w:rPr>
          <w:b/>
        </w:rPr>
        <w:t xml:space="preserve">Ergebnis: </w:t>
      </w:r>
      <w:r>
        <w:t>Männer berichteten aktuell 1,57-fach höhere Suizidgedanken (95% KI 1,25–1,97), 1,31-fach Selbstverletzungsgedanken (1,09–1,57), 1,35-fach Suizidgedanken zur Trauer (1,13–1,60). Hohe wahrgenommene Unterstützung schützte beide Geschlechter vor psychischen und Suizidfolgen.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nationale Postvention für Trauernde</w:t>
      </w:r>
    </w:p>
    <w:p>
      <w:r>
        <w:rPr>
          <w:color w:val="5A7D3A"/>
          <w:sz w:val="18"/>
        </w:rPr>
        <w:t>https://pubmed.ncbi.nlm.nih.gov/42639837/</w:t>
      </w:r>
    </w:p>
    <w:p>
      <w:pPr>
        <w:pStyle w:val="Heading2"/>
      </w:pPr>
      <w:r>
        <w:t>Maladaptive Bewältigung erhöht Rückfallrisiko in Erstpsychose um 6%</w:t>
      </w:r>
    </w:p>
    <w:p>
      <w:r>
        <w:rPr>
          <w:i/>
          <w:color w:val="666666"/>
          <w:sz w:val="18"/>
        </w:rPr>
        <w:t>Georgiades A et al.  ·  Schizophr Bull  ·  20.08.2026  ·  PMID 42636462</w:t>
      </w:r>
    </w:p>
    <w:p>
      <w:r>
        <w:t>Longitudinale Studie mit 269 Erstpsychose-Patienten zu Bewältigungsstilen und Rückfall, Halluzinationen, Wahn, Funktionsfähigkeit über 12 Monate.</w:t>
      </w:r>
    </w:p>
    <w:p>
      <w:r>
        <w:rPr>
          <w:b/>
        </w:rPr>
        <w:t xml:space="preserve">Ergebnis: </w:t>
      </w:r>
      <w:r>
        <w:t>Maladaptive Bewältigung: OR 1,06 für Rückfall in 12 Monaten (95% KI 1,00–1,12), OR 1,07 für Halluzinationen, OR 1,07 für Wahn. Adaptive Bewältigung OR 0,96 für Halluzinationen, OR 0,95 für Wahn. Machine-Learning zeigte maladaptive Bewältigung als stärkster Prädiktor (AUC 0,770).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Early-Intervention-Services für Psychose</w:t>
      </w:r>
    </w:p>
    <w:p>
      <w:r>
        <w:rPr>
          <w:color w:val="5A7D3A"/>
          <w:sz w:val="18"/>
        </w:rPr>
        <w:t>https://pubmed.ncbi.nlm.nih.gov/42636462/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73% der Todesfälle nach psychosozialer Meldung: Früherkennung und Koordination unzureichend</w:t>
      </w:r>
    </w:p>
    <w:p>
      <w:r>
        <w:rPr>
          <w:i/>
          <w:color w:val="666666"/>
          <w:sz w:val="18"/>
        </w:rPr>
        <w:t>Tromp E et al.  ·  Ned Tijdschr Geneeskd  ·  13.08.2026  ·  PMID 42614038</w:t>
      </w:r>
    </w:p>
    <w:p>
      <w:r>
        <w:t>Retrospektive Audit (17 Gemeinden Utrecht 2018–2024): Personen mit öffentlicher psychosozialer Meldung (n=7.172) und nachfolgende forensische Leichenöffnung (n=155).</w:t>
      </w:r>
    </w:p>
    <w:p>
      <w:r>
        <w:rPr>
          <w:b/>
        </w:rPr>
        <w:t xml:space="preserve">Ergebnis: </w:t>
      </w:r>
      <w:r>
        <w:t>73% bereits bei Meldung in einer oder mehreren Diensten bekannt; 33% mit wiederholten Meldungen. 70% der später verstorbenen starben innerhalb eines Jahres nach letzter Meldung, überwiegend nicht-natürliche Ursachen. Psychiatrische Probleme 70% der Meldungen.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(öffentliche Gesundheit), vergleichbar Deutschland; Prävention und Koordination in Schnittstellen zentral.</w:t>
      </w:r>
    </w:p>
    <w:p>
      <w:r>
        <w:rPr>
          <w:color w:val="5A7D3A"/>
          <w:sz w:val="18"/>
        </w:rPr>
        <w:t>https://pubmed.ncbi.nlm.nih.gov/42614038/</w:t>
      </w:r>
    </w:p>
    <w:p>
      <w:pPr>
        <w:pStyle w:val="Heading2"/>
      </w:pPr>
      <w:r>
        <w:t>Peer Support in Krisendiensten reduziert Eskalation und erhöht Sicherheit</w:t>
      </w:r>
    </w:p>
    <w:p>
      <w:r>
        <w:rPr>
          <w:i/>
          <w:color w:val="666666"/>
          <w:sz w:val="18"/>
        </w:rPr>
        <w:t>Oeltjen LK et al.  ·  BMC Health Serv Res  ·  11.08.2026  ·  PMID 42608682</w:t>
      </w:r>
    </w:p>
    <w:p>
      <w:r>
        <w:t>Qualitative Studie mit 25 Personen, die Kriseneinsätze erlebt haben (mobil oder ambulant), zur Erfahrung von Krisenintervention mit und ohne Genesungsbegleiter.</w:t>
      </w:r>
    </w:p>
    <w:p>
      <w:r>
        <w:rPr>
          <w:b/>
        </w:rPr>
        <w:t xml:space="preserve">Ergebnis: </w:t>
      </w:r>
      <w:r>
        <w:t>Empathisches Zuhören, ruhige Kommunikation und transparente Erklärungen wurden als unterstützend beschrieben. Genesungsbegleiter wurden überwiegend positiv wahrgenommen – ihre gelebte Erfahrung vermittelte Authentizität und Hoffnung. Polizeieinsätze waren ambivalent: teils beruhigend, teils eskalierend.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Krisendienste (Ländersache), ähnliche Struktur Bremen; Kostenträger Bundeszuschuss/Länder.</w:t>
      </w:r>
    </w:p>
    <w:p>
      <w:r>
        <w:rPr>
          <w:color w:val="5A7D3A"/>
          <w:sz w:val="18"/>
        </w:rPr>
        <w:t>https://pubmed.ncbi.nlm.nih.gov/42608682/</w:t>
      </w:r>
    </w:p>
    <w:p>
      <w:pPr>
        <w:pStyle w:val="Heading2"/>
      </w:pPr>
      <w:r>
        <w:t>Migrantinnen und Migranten: 59% weniger Früherkennung perinataler Erkrankungen</w:t>
      </w:r>
    </w:p>
    <w:p>
      <w:r>
        <w:rPr>
          <w:i/>
          <w:color w:val="666666"/>
          <w:sz w:val="18"/>
        </w:rPr>
        <w:t>Kovacs R et al.  ·  BMJ Open  ·  17.08.2026  ·  PMID 42608046</w:t>
      </w:r>
    </w:p>
    <w:p>
      <w:r>
        <w:t>Populationsbasierte Kohorte (404.043 Mütter, 391.068 Väter) zur Ungleichheit in Früherkennung, Behandlung und Zeitverzögerung bei perinatalen Erkrankungen nach Migrationsstatus in Schweden.</w:t>
      </w:r>
    </w:p>
    <w:p>
      <w:r>
        <w:rPr>
          <w:b/>
        </w:rPr>
        <w:t xml:space="preserve">Ergebnis: </w:t>
      </w:r>
      <w:r>
        <w:t>Bei außernordisch geborenen Eltern: Erkennung 5,3 Prozentpunkte niedriger für Mütter (59% unter Baseline 9,0%), 2,5 Punkte für Väter (48% unter 5,2%). Bei Diagnose: 12,1 Punkte weniger Behandlung bei Müttern, 7,6 bei Vätern. Zeitverzögerung Diagnose–Behandlung klein.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(Sozialversicherung), vergleichbar deutsches Versicherungssystem; Datenproblem auch in Deutschland.</w:t>
      </w:r>
    </w:p>
    <w:p>
      <w:r>
        <w:rPr>
          <w:color w:val="5A7D3A"/>
          <w:sz w:val="18"/>
        </w:rPr>
        <w:t>https://pubmed.ncbi.nlm.nih.gov/42608046/</w:t>
      </w:r>
    </w:p>
    <w:p>
      <w:pPr>
        <w:pStyle w:val="Heading2"/>
      </w:pPr>
      <w:r>
        <w:t>Frühe Schulprobleme: Kleine Reduktion späteren Angst- und Depressionsrisikos</w:t>
      </w:r>
    </w:p>
    <w:p>
      <w:r>
        <w:rPr>
          <w:i/>
          <w:color w:val="666666"/>
          <w:sz w:val="18"/>
        </w:rPr>
        <w:t>Stannard S et al.  ·  BMJ Open  ·  14.08.2026  ·  PMID 42601093</w:t>
      </w:r>
    </w:p>
    <w:p>
      <w:r>
        <w:t>Populationsbasierte Datenverknüpfung (236.165 Jungen, 224.462 Mädchen) in Wales: Wirkung hypothetischer Interventionen (Sure Start + kostenlose Schulmahlzeiten) auf Angst/Depression im Alter 13–18.</w:t>
      </w:r>
    </w:p>
    <w:p>
      <w:r>
        <w:rPr>
          <w:b/>
        </w:rPr>
        <w:t xml:space="preserve">Ergebnis: </w:t>
      </w:r>
      <w:r>
        <w:t>2,8% der Jungen und 7,2% der Mädchen mit Angstdiagnose; 2,7% und 6,4% mit Depression. Schulische Benachteiligung (Leistung, Fehlzeiten, Ausschluss) assoziiert mit höherem Angst-/Depressionsrisiko. Hypothetische kombinierte Intervention: 0,6–1,6% absolute Reduktion Angst (Jungen), 0,3–0,5% (Mädchen); 0,4% Depression (Mädchen).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Wales, vergleichbar Deutschland; public data linkage wie SAIL nicht vorhanden.</w:t>
      </w:r>
    </w:p>
    <w:p>
      <w:r>
        <w:rPr>
          <w:color w:val="5A7D3A"/>
          <w:sz w:val="18"/>
        </w:rPr>
        <w:t>https://pubmed.ncbi.nlm.nih.gov/42601093/</w:t>
      </w:r>
    </w:p>
    <w:p>
      <w:pPr>
        <w:pStyle w:val="Heading2"/>
      </w:pPr>
      <w:r>
        <w:t>Person-zentrierte Gruppe fördert Recovery: Belonging, Hoffnung, Empowerment</w:t>
      </w:r>
    </w:p>
    <w:p>
      <w:r>
        <w:rPr>
          <w:i/>
          <w:color w:val="666666"/>
          <w:sz w:val="18"/>
        </w:rPr>
        <w:t>Hostrup KL et al.  ·  Int J Ment Health Nurs  ·  Aug. 2026  ·  PMID 42591019</w:t>
      </w:r>
    </w:p>
    <w:p>
      <w:r>
        <w:t>Qualitative Längsschnittstudie (n=17, 12-Wochen-Intervention Discovery + Guided Self-Determination, Interviews post und 3 Monate später) zur Wirkung auf Recovery-Prozess.</w:t>
      </w:r>
    </w:p>
    <w:p>
      <w:r>
        <w:rPr>
          <w:b/>
        </w:rPr>
        <w:t xml:space="preserve">Ergebnis: </w:t>
      </w:r>
      <w:r>
        <w:t>Intervention förderte persönliche Recovery über alle CHIME-Kategorien (Connectedness, Hope, Identity, Meaning, Empowerment). Peers vermittelten Zugehörigkeitsgefühl, Vertrauen, gegenseitiges Verständnis. Offenheit über psychische Erkrankung stieg. Dauerhafter Effekt nur mit weiterer professioneller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(Region Nord), ähnliche Versorgungsstruktur; Peer-Support Teil Recovery-Modelle.</w:t>
      </w:r>
    </w:p>
    <w:p>
      <w:r>
        <w:rPr>
          <w:color w:val="5A7D3A"/>
          <w:sz w:val="18"/>
        </w:rPr>
        <w:t>https://pubmed.ncbi.nlm.nih.gov/42591019/</w:t>
      </w:r>
    </w:p>
    <w:p>
      <w:pPr>
        <w:pStyle w:val="Heading2"/>
      </w:pPr>
      <w:r>
        <w:t>Sprachbarrieren und Kulturkompetenz hindern ethnische Minderheiten an Neurodevelopmental-Diagnostik</w:t>
      </w:r>
    </w:p>
    <w:p>
      <w:r>
        <w:rPr>
          <w:i/>
          <w:color w:val="666666"/>
          <w:sz w:val="18"/>
        </w:rPr>
        <w:t>Cooper SE et al.  ·  BMJ Ment Health  ·  11.08.2026  ·  PMID 42580809</w:t>
      </w:r>
    </w:p>
    <w:p>
      <w:r>
        <w:t>Mixed-Methods-Studie (n=264 Online-Befragung, 9 Fokusgruppen) zu Hürden beim Zugang zu ADHS/Autismus-Diagnostik für ethnische Minderheiten aus Sicht von 264 Fachpersonen in England.</w:t>
      </w:r>
    </w:p>
    <w:p>
      <w:r>
        <w:rPr>
          <w:b/>
        </w:rPr>
        <w:t xml:space="preserve">Ergebnis: </w:t>
      </w:r>
      <w:r>
        <w:t>Vier Barrieren identifiziert: (1) Sprache und Verständnisprobleme, (2) fragmentierte Pfade und digitale Hürden, (3) begrenzte Elternkenntnis, (4) kulturelle Normen und Stigma. Unbewusste Vorurteile beeinflussen Überweisungsentscheidungen. Strategien: kulturell angepasste Kommunikation, Community-Engagement, flexible Assessment.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 (NHS), ähnliche Struktur Deutschland; Kostenträger GKV, Zugang durch niedergelassene und ambulante Psychiater.</w:t>
      </w:r>
    </w:p>
    <w:p>
      <w:r>
        <w:rPr>
          <w:color w:val="5A7D3A"/>
          <w:sz w:val="18"/>
        </w:rPr>
        <w:t>https://pubmed.ncbi.nlm.nih.gov/42580809/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