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29.10.2026  |  7 Studien  |  mental.m-vf.de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Augmentierungsstrategien bei Clozapin-Resistenz: Verweildauer und Symptomverbesserung</w:t>
      </w:r>
    </w:p>
    <w:p>
      <w:r>
        <w:rPr>
          <w:i/>
          <w:color w:val="666666"/>
          <w:sz w:val="18"/>
        </w:rPr>
        <w:t>Baldwin K et al.  ·  Schizophr Bull  ·  27.10.2026  ·  PMID 42951688</w:t>
      </w:r>
    </w:p>
    <w:p>
      <w:r>
        <w:t>Kanadische retrospektive Kohortenstudie mit 88 stationären Aufnahmen von Patienten mit therapieresistenter Schizophrenie zur Wirkung von Augmentierungsstrategien auf Verweildauer und Symptome.</w:t>
      </w:r>
    </w:p>
    <w:p>
      <w:r>
        <w:rPr>
          <w:b/>
        </w:rPr>
        <w:t xml:space="preserve">Ergebnis: </w:t>
      </w:r>
      <w:r>
        <w:t>D2/D3-selektive Antagonisten assoziiert mit kürzerer Verweildauer als ECT (HR 2,50, 95%-KI 1,35–4,62). ECT zeigte größere Reduktion positiver Symptome als selektive Antagonisten (MD −3,20, 95%-KI −5,65 bis −0,75). Baseline-Psychose und Funktionsbeeinträchtigung waren Prädiktoren für ECT bei Entlassung (AUC 0,74).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Kanada; Messung-basierte Versorgung mit Ressourceneffizienzbetrachtung relevant für deutsches System</w:t>
      </w:r>
    </w:p>
    <w:p>
      <w:r>
        <w:rPr>
          <w:color w:val="5A7D3A"/>
          <w:sz w:val="18"/>
        </w:rPr>
        <w:t>https://pubmed.ncbi.nlm.nih.gov/42951688/</w:t>
      </w:r>
    </w:p>
    <w:p>
      <w:pPr>
        <w:pStyle w:val="Heading2"/>
      </w:pPr>
      <w:r>
        <w:t>Vertrauensaufbau in Maßregelvollzug: Patientenerfahrungen mit partizipativer Betreuung</w:t>
      </w:r>
    </w:p>
    <w:p>
      <w:r>
        <w:rPr>
          <w:i/>
          <w:color w:val="666666"/>
          <w:sz w:val="18"/>
        </w:rPr>
        <w:t>Vidaurrázaga Aras V et al.  ·  Int J Ment Health Nurs  ·  Dez. 2026  ·  PMID 42947530</w:t>
      </w:r>
    </w:p>
    <w:p>
      <w:r>
        <w:t>Schwedische Querschnittsstudie mit 329 Patienten in 13 forensischen Psychiatrien zur Messung personenzentrierter Versorgung mittels Generic Person-Centred Care Questionnaire.</w:t>
      </w:r>
    </w:p>
    <w:p>
      <w:r>
        <w:rPr>
          <w:b/>
        </w:rPr>
        <w:t xml:space="preserve">Ergebnis: </w:t>
      </w:r>
      <w:r>
        <w:t>Median-Score 70 (Spanne 19–95). Verweildauer assoziiert mit wahrgenommener Betreuungsqualität: Patienten mit 2–5 Jahren Aufenthalt berichteten höhere Scores als solche mit &gt;10 Jahren. Vertrauen zu Personal signifikant niedriger bei &gt;10 Jahren Verweildauer. Involvement in Behandlungsplanung und Angehörigenbeteiligung zeigten niedrigere Ratings.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vergleichbare Rechtsordnung und Zwangsbetreuung</w:t>
      </w:r>
    </w:p>
    <w:p>
      <w:r>
        <w:rPr>
          <w:color w:val="5A7D3A"/>
          <w:sz w:val="18"/>
        </w:rPr>
        <w:t>https://pubmed.ncbi.nlm.nih.gov/42947530/</w:t>
      </w:r>
    </w:p>
    <w:p>
      <w:pPr>
        <w:pStyle w:val="Heading2"/>
      </w:pPr>
      <w:r>
        <w:t>Psychische Belastung bei Brustkrebsüberlebenden: Zugangsbarrieren zu Versorgung</w:t>
      </w:r>
    </w:p>
    <w:p>
      <w:r>
        <w:rPr>
          <w:i/>
          <w:color w:val="666666"/>
          <w:sz w:val="18"/>
        </w:rPr>
        <w:t>Danner A et al.  ·  Psychooncology  ·  Okt. 2026  ·  PMID 42947255</w:t>
      </w:r>
    </w:p>
    <w:p>
      <w:r>
        <w:t>US-amerikanische Mixed-Methods-Studie mit 384 Brustkrebsüberlebenden mit klinisch bedeutsamer Angststörung zur Nutzung psychischer Versorgung und deren Barrieren.</w:t>
      </w:r>
    </w:p>
    <w:p>
      <w:r>
        <w:rPr>
          <w:b/>
        </w:rPr>
        <w:t xml:space="preserve">Ergebnis: </w:t>
      </w:r>
      <w:r>
        <w:t>Von 298 Patienten mit klinisch relevanter Belastung nutzten nur 61 (20,5%) psychische Versorgung in den vorangegangenen 3 Monaten. Angststörung (p=0,003), Depression (p=0,002) und PTBS (p=0,039) assoziiert mit Nutzung; Angststörung paradox mit weniger Besuchen. Barrieren: Vermeidungsverhalten, finanzielle und logistische Hürden, begrenzte zeitnahe integrierte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strukturelle Zugangsbarrieren und Vermeidung als Versorgungshindernisse übertragbar</w:t>
      </w:r>
    </w:p>
    <w:p>
      <w:r>
        <w:rPr>
          <w:color w:val="5A7D3A"/>
          <w:sz w:val="18"/>
        </w:rPr>
        <w:t>https://pubmed.ncbi.nlm.nih.gov/42947255/</w:t>
      </w:r>
    </w:p>
    <w:p>
      <w:pPr>
        <w:pStyle w:val="Heading2"/>
      </w:pPr>
      <w:r>
        <w:t>Rehabilitierungskoordinatoren in psychiatrischer Versorgung: Chancen und Rollenverwirrung</w:t>
      </w:r>
    </w:p>
    <w:p>
      <w:r>
        <w:rPr>
          <w:i/>
          <w:color w:val="666666"/>
          <w:sz w:val="18"/>
        </w:rPr>
        <w:t>Andersén Å et al.  ·  BMC Health Serv Res  ·  27.10.2026  ·  PMID 42947172</w:t>
      </w:r>
    </w:p>
    <w:p>
      <w:r>
        <w:t>Qualitative Studie mit 12 Fachpersonen in schwedischer Psychiatrie zu Erfahrungen mit neu eingeführten Rehabilitierungskoordinatoren für berufliche Reintegration.</w:t>
      </w:r>
    </w:p>
    <w:p>
      <w:r>
        <w:rPr>
          <w:b/>
        </w:rPr>
        <w:t xml:space="preserve">Ergebnis: </w:t>
      </w:r>
      <w:r>
        <w:t>Zwei Hauptthemen: (1) Koordinatoren verbessern Fokus auf berufliche Rehabilitation und entlasten Personal von zeitaufwendigen Aufgaben; (2) Unsicherheit über Rollendifferenzierung zwischen Koordinatoren und Fachpersonen. Koordinatoren adressierten Versorgungslücke; Klärung von Verantwortlichkeiten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Versicherungssystem; ähnliche Rehabilitationsfinanzierung wie deutsche Rentenversicherung</w:t>
      </w:r>
    </w:p>
    <w:p>
      <w:r>
        <w:rPr>
          <w:color w:val="5A7D3A"/>
          <w:sz w:val="18"/>
        </w:rPr>
        <w:t>https://pubmed.ncbi.nlm.nih.gov/42947172/</w:t>
      </w:r>
    </w:p>
    <w:p>
      <w:pPr>
        <w:pStyle w:val="Heading2"/>
      </w:pPr>
      <w:r>
        <w:t>Co-Produktion von Lehre mit Betroffenen: bessere klinische Bereitschaft von Studierenden</w:t>
      </w:r>
    </w:p>
    <w:p>
      <w:r>
        <w:rPr>
          <w:i/>
          <w:color w:val="666666"/>
          <w:sz w:val="18"/>
        </w:rPr>
        <w:t>Bocking JC et al.  ·  BMC Med Educ  ·  30.07.2026  ·  PMID 42947162</w:t>
      </w:r>
    </w:p>
    <w:p>
      <w:r>
        <w:t>Australische qualitative Studie mit 13 Ergotherapie-Studierenden zu Wahrnehmung von mental-health-Unterricht mit beteiligten Personen mit Erfahrung als Servicenutzern.</w:t>
      </w:r>
    </w:p>
    <w:p>
      <w:r>
        <w:rPr>
          <w:b/>
        </w:rPr>
        <w:t xml:space="preserve">Ergebnis: </w:t>
      </w:r>
      <w:r>
        <w:t>Fünf Themen: (1) gestiegenes Interesse an psychischer Gesundheit, (2) klarere Rollenverständnis, (3) reduzierte Furcht, (4) erhöhte Empathie, (5) humanistischer Zugang. Studierende zeigten mehr Bereitschaft zur Patientenengagement und besseres Verständnis ihres Aufgabenfelds.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Co-Produktion von Lehrprogrammen mit Betroffenen als Modell für Stigmaabbau</w:t>
      </w:r>
    </w:p>
    <w:p>
      <w:r>
        <w:rPr>
          <w:color w:val="5A7D3A"/>
          <w:sz w:val="18"/>
        </w:rPr>
        <w:t>https://pubmed.ncbi.nlm.nih.gov/42947162/</w:t>
      </w:r>
    </w:p>
    <w:p>
      <w:pPr>
        <w:pStyle w:val="Heading2"/>
      </w:pPr>
      <w:r>
        <w:t>Schlafstörung und Zirkadianrhythmus als Prädiktoren für Behandlungstreue bei Depression</w:t>
      </w:r>
    </w:p>
    <w:p>
      <w:r>
        <w:rPr>
          <w:i/>
          <w:color w:val="666666"/>
          <w:sz w:val="18"/>
        </w:rPr>
        <w:t>Gedikli İ et al.  ·  BMC Psychiatry  ·  31.07.2026  ·  PMID 42947031</w:t>
      </w:r>
    </w:p>
    <w:p>
      <w:r>
        <w:t>Türkische Querschnittsstudie mit 110 ambulanten Depressionspatienten zu Beziehungen zwischen Schlafqualität, Rhythmusstörung, Funktionsfähigkeit und Medikamenteneinhaltung.</w:t>
      </w:r>
    </w:p>
    <w:p>
      <w:r>
        <w:rPr>
          <w:b/>
        </w:rPr>
        <w:t xml:space="preserve">Ergebnis: </w:t>
      </w:r>
      <w:r>
        <w:t>78,2% zeigten mäßige bis schlechte Schlafqualität. Schlechtere Schlafqualität korrelierte mit niedrigerer sozialer Funktionsfähigkeit (r=−0,300, p&lt;0,01), niedrigerer Medikamenteneinhaltung (r=−0,350, p&lt;0,01) und stärkerer Rhythmusstörung (r=0,621, p&lt;0,01). Zirkadianrhythmus war unabhängiger Prädiktor für Schlafqualität (β=0,445,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Ambulanzdaten; Schlaf als Screening-Priorität für Behandlungstreue</w:t>
      </w:r>
    </w:p>
    <w:p>
      <w:r>
        <w:rPr>
          <w:color w:val="5A7D3A"/>
          <w:sz w:val="18"/>
        </w:rPr>
        <w:t>https://pubmed.ncbi.nlm.nih.gov/42947031/</w:t>
      </w:r>
    </w:p>
    <w:p>
      <w:pPr>
        <w:pStyle w:val="Heading2"/>
      </w:pPr>
      <w:r>
        <w:t>Krebswissen bei Menschen mit Behinderung: Europäische Ungleichheitsanalyse</w:t>
      </w:r>
    </w:p>
    <w:p>
      <w:r>
        <w:rPr>
          <w:i/>
          <w:color w:val="666666"/>
          <w:sz w:val="18"/>
        </w:rPr>
        <w:t>Elmadani M et al.  ·  Int J Equity Health  ·  29.07.2026  ·  PMID 42934713</w:t>
      </w:r>
    </w:p>
    <w:p>
      <w:r>
        <w:t>Multinationale Querschnittsstudie mit 896 Erwachsenen mit leichter bis mittelschwerer Behinderung zum Krebswissen in mehreren europäischen Ländern.</w:t>
      </w:r>
    </w:p>
    <w:p>
      <w:r>
        <w:rPr>
          <w:b/>
        </w:rPr>
        <w:t xml:space="preserve">Ergebnis: </w:t>
      </w:r>
      <w:r>
        <w:t>Alle drei Wissensbereiche (Warnzeichen, Risikofaktoren, Prävention) zeigten gute interne Konsistenz (Cronbachs α 0,80–0,93). Frauen hatten höheres Warnzeichenwissen als Männer (p=0,039). Höhere Bildung konsistent mit besserem Wissen (p&lt;0,001). Menschen in Pflegeheimen zeigten höheres Präventionswissen.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Mehrere europäische Länder, dokumentiert Ungleichheit in Gesundheitskommunikation bei vulnerabler Gruppe</w:t>
      </w:r>
    </w:p>
    <w:p>
      <w:r>
        <w:rPr>
          <w:color w:val="5A7D3A"/>
          <w:sz w:val="18"/>
        </w:rPr>
        <w:t>https://pubmed.ncbi.nlm.nih.gov/42934713/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