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08.09.2026  |  6 Studien  |  mental.m-vf.de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Governance-Strukturen sind zentral für integrierte Jugendversorgung mit Sucht- und Psychomorbidität</w:t>
      </w:r>
    </w:p>
    <w:p>
      <w:r>
        <w:rPr>
          <w:i/>
          <w:color w:val="666666"/>
          <w:sz w:val="18"/>
        </w:rPr>
        <w:t>Kihlström J et al.  ·  Int J Ment Health Nurs  ·  Okt. 2026  ·  PMID 42703970</w:t>
      </w:r>
    </w:p>
    <w:p>
      <w:r>
        <w:t>Eine qualitative Fallstudie am schwedischen MiniMaria-Behandlungszentrum untersuchte, wie Schnittstellen zwischen Gesundheit und Sozialhilfe bei der Betreuung von Jugendlichen mit Mental-Health- und Suchtproblemen funktionieren.</w:t>
      </w:r>
    </w:p>
    <w:p>
      <w:r>
        <w:rPr>
          <w:b/>
        </w:rPr>
        <w:t xml:space="preserve">Ergebnis: </w:t>
      </w:r>
      <w:r>
        <w:t>Vier zentrale Themen: (1) divergente Organisationskulturen und Machtfragen, (2) fragmentiertes Zielmanagement auf strategischer Ebene, (3) wechselndes Vertrauen und Leadership, (4) operative Auswirkungen auf das Team. Middle-Management-Pragmatismus stabilisierte die Leistung trotz unzureichender strategischer Abstimmung, aber der Erfolg hing von expliziten Merkzetteln, gemeinsamen IT-Systemen und kontinuierlicher Kulturüberwachung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Versicherungssystem; transferierbare Befunde zu Schnittstellen-Governance</w:t>
      </w:r>
    </w:p>
    <w:p>
      <w:r>
        <w:rPr>
          <w:color w:val="5A7D3A"/>
          <w:sz w:val="18"/>
        </w:rPr>
        <w:t>https://pubmed.ncbi.nlm.nih.gov/42703970/</w:t>
      </w:r>
    </w:p>
    <w:p>
      <w:pPr>
        <w:pStyle w:val="Heading2"/>
      </w:pPr>
      <w:r>
        <w:t>Peer-geführte Dementia-Versorgungsdienste zeigen positive Outcomes, benötigen aber eigene Messinstrumente</w:t>
      </w:r>
    </w:p>
    <w:p>
      <w:r>
        <w:rPr>
          <w:i/>
          <w:color w:val="666666"/>
          <w:sz w:val="18"/>
        </w:rPr>
        <w:t>Roennfeldt H et al.  ·  Health Expect  ·  Okt. 2026  ·  PMID 42703949</w:t>
      </w:r>
    </w:p>
    <w:p>
      <w:r>
        <w:t>Ein Scoping Review (13 Studien) identifizierte, welche Outcome-Messinstrumente in von Genesungsbegleitern geführten psychischen Versorgungsdiensten verwendet werden und ob diese Dienste als Alternativen zu klinischen Angeboten evaluiert werden können.</w:t>
      </w:r>
    </w:p>
    <w:p>
      <w:r>
        <w:rPr>
          <w:b/>
        </w:rPr>
        <w:t xml:space="preserve">Ergebnis: </w:t>
      </w:r>
      <w:r>
        <w:t>Alle 13 Studien berichteten positive Outcomes bei Peer-Respite- oder Peer-Support-Angeboten. Messungen waren heterogen: Gemischte Nutzung von klinischen, adaptieren und explorativen Skalen; 0 (null) Studien nutzten von Genesungsbegleitern entwickelte Messinstrumente. Kritische Erkenntnis: Fehlende, von der Lived-Experience-Workforce mitentwickelte Outcome-Messinstrumente, die mit Werten und Praxis dieser Dienste übereinstimmen.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internationale Best-Practice-Synthese zu Peer-Versorgung, relevant für Genesungsbegleiter-Programme im deutschen System</w:t>
      </w:r>
    </w:p>
    <w:p>
      <w:r>
        <w:rPr>
          <w:color w:val="5A7D3A"/>
          <w:sz w:val="18"/>
        </w:rPr>
        <w:t>https://pubmed.ncbi.nlm.nih.gov/42703949/</w:t>
      </w:r>
    </w:p>
    <w:p>
      <w:pPr>
        <w:pStyle w:val="Heading2"/>
      </w:pPr>
      <w:r>
        <w:t>Kognitive Verhaltenstherapie für Psychose ist auch bei Intelligenzminderung machbar</w:t>
      </w:r>
    </w:p>
    <w:p>
      <w:r>
        <w:rPr>
          <w:i/>
          <w:color w:val="666666"/>
          <w:sz w:val="18"/>
        </w:rPr>
        <w:t>Vogels SR et al.  ·  Schizophr Bull  ·  20.08.2026  ·  PMID 42700400</w:t>
      </w:r>
    </w:p>
    <w:p>
      <w:r>
        <w:t>Ein Scoping Review (18 Studien, davon 4 Fallserien mit n=9 Patienten) untersuchte, ob CBT für Psychose (CBTp) bei Menschen mit Psychose und Intelligenzminderung effektiv und machbar ist.</w:t>
      </w:r>
    </w:p>
    <w:p>
      <w:r>
        <w:rPr>
          <w:b/>
        </w:rPr>
        <w:t xml:space="preserve">Ergebnis: </w:t>
      </w:r>
      <w:r>
        <w:t>Neun Patienten aus Fallserien: vorläufige Evidenz für CBTp-Effektivität trotz Intelligenzminderung; alle konnten Schlüsselelemente verstehen. Sechs RCT-Moderator-Analysen zeigten: kognitiv beeinträchtigte Patienten profitierten nicht weniger von CBTp als andere. Notwendige praktische Anpassungen: Vereinfachte Sprache, längere Sitzungen, schriftliche Hilfsmittel – aber Kern-CBTp-Elemente blieben unangetastet. Fazit: CBTp ist für diese Population machbar; RCTs sind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Forschung; transferierbar auf deutsches Gesundheitssystem mit vergleichbaren Psychose-Services</w:t>
      </w:r>
    </w:p>
    <w:p>
      <w:r>
        <w:rPr>
          <w:color w:val="5A7D3A"/>
          <w:sz w:val="18"/>
        </w:rPr>
        <w:t>https://pubmed.ncbi.nlm.nih.gov/42700400/</w:t>
      </w:r>
    </w:p>
    <w:p>
      <w:pPr>
        <w:pStyle w:val="Heading2"/>
      </w:pPr>
      <w:r>
        <w:t>Systemische Inflammationsindizes bei psychisch erkrankten Patienten mit Drogenkonsum: assoziiert mit Immunstörung</w:t>
      </w:r>
    </w:p>
    <w:p>
      <w:r>
        <w:rPr>
          <w:i/>
          <w:color w:val="666666"/>
          <w:sz w:val="18"/>
        </w:rPr>
        <w:t>Yildiz A et al.  ·  BMC Psychiatry  ·  03.09.2026  ·  PMID 42693429</w:t>
      </w:r>
    </w:p>
    <w:p>
      <w:r>
        <w:t>Eine retrospektive Vergleichsstudie (760 Psychiater-Inpatients mit positiven Drogen-Urinscreenings, 171 ohne, 151 Kontrollen) untersuchte, ob der Systemic Inflammation Response Index (SIRI), Systemic Immune-Inflammation Index (SII) und Prognostic Nutritional Index (PNI) zwischen Gruppen variieren.</w:t>
      </w:r>
    </w:p>
    <w:p>
      <w:r>
        <w:rPr>
          <w:b/>
        </w:rPr>
        <w:t xml:space="preserve">Ergebnis: </w:t>
      </w:r>
      <w:r>
        <w:t>Patienten mit Drogennachweisen hatten höheres SIRI (Median 1,24 vs. 0,98, p&lt;0,001) und niedriges PNI (56,0 vs. 58,8, p&lt;0,001) als Kontrollen; SII unterschied sich nicht (p=0,108). SIRI war positiv mit Erkrankung assoziiert (OR=1,847, p&lt;0,001); PNI invers (OR=0,917, p&lt;0,001). ROC-Analysen in der Schizophrenie-Subgruppe: AUC 0,727 (SIRI), 0,804 (PNI). Substanz-spezifische Unterschiede waren heterogen; Assoziation schwächten sich nach Alters-/Geschlechtsanpassung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Türkei; methodisch umsetzbar, aber Replikation in deutschem Kontext erforderlich</w:t>
      </w:r>
    </w:p>
    <w:p>
      <w:r>
        <w:rPr>
          <w:color w:val="5A7D3A"/>
          <w:sz w:val="18"/>
        </w:rPr>
        <w:t>https://pubmed.ncbi.nlm.nih.gov/42693429/</w:t>
      </w:r>
    </w:p>
    <w:p>
      <w:pPr>
        <w:pStyle w:val="Heading2"/>
      </w:pPr>
      <w:r>
        <w:t>Impulsivität vorhersagt schlechtere Outcomes bei PTBS mit Borderline-Persönlichkeitszügen nach CPT</w:t>
      </w:r>
    </w:p>
    <w:p>
      <w:r>
        <w:rPr>
          <w:i/>
          <w:color w:val="666666"/>
          <w:sz w:val="18"/>
        </w:rPr>
        <w:t>Enning F et al.  ·  J Psychiatr Res  ·  13.08.2026  ·  PMID 42617371</w:t>
      </w:r>
    </w:p>
    <w:p>
      <w:r>
        <w:t>Eine Sekundäranalyse einer Randomisierten Klinischen Studie (n=193 Frauen mit PTBS aus Kindesmissbrauch und Borderline-Zügen) untersuchte, ob Impulsivität die Therapieergebnisse bei Dialectical Behavior Therapy für PTBS (DBT-PTSD) versus Cognitive Processing Therapy (CPT) vorhersagt.</w:t>
      </w:r>
    </w:p>
    <w:p>
      <w:r>
        <w:rPr>
          <w:b/>
        </w:rPr>
        <w:t xml:space="preserve">Ergebnis: </w:t>
      </w:r>
      <w:r>
        <w:t>Höhere Baseline-Impulsivität war mit erhöhtem Dropout (p=0,049) assoziiert, besonders Non-Planning-Impulsivität (p=0,012). Bei CPT-Teilnehmern: Höhere Impulsivität korrelierte mit schlechterer PTBS-Symptomreduktion (ΔCAPS, p=0,021); dieser Zusammenhang bestand bei DBT-PTSD nicht (n.s.). Die Befunde unterstützen Personalisierung: Hochimpulsive Patienten könnten von DBT-PTSD besser profitieren als von CPT.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RCT-Zentren; direkt übertragbar auf deutsches Gesundheitssystem</w:t>
      </w:r>
    </w:p>
    <w:p>
      <w:r>
        <w:rPr>
          <w:color w:val="5A7D3A"/>
          <w:sz w:val="18"/>
        </w:rPr>
        <w:t>https://pubmed.ncbi.nlm.nih.gov/42617371/</w:t>
      </w:r>
    </w:p>
    <w:p>
      <w:pPr>
        <w:pStyle w:val="Heading2"/>
      </w:pPr>
      <w:r>
        <w:t>Waldverbesserungen reduzierten Antidepressiva-Verordnungen in schottischen Stadtgebieten</w:t>
      </w:r>
    </w:p>
    <w:p>
      <w:r>
        <w:rPr>
          <w:i/>
          <w:color w:val="666666"/>
          <w:sz w:val="18"/>
        </w:rPr>
        <w:t>Ogletree S et al.  ·  Lancet Planet Health  ·  13.08.2026  ·  PMID 42594933</w:t>
      </w:r>
    </w:p>
    <w:p>
      <w:r>
        <w:t>Eine Langzeitkohorte mit 129.335 Erwachsenen in Schottland untersuchte, ob verbesserte Stadtwaldflächen die Verschreibung von Antidepressiva und Anxiolytika senkt.</w:t>
      </w:r>
    </w:p>
    <w:p>
      <w:r>
        <w:rPr>
          <w:b/>
        </w:rPr>
        <w:t xml:space="preserve">Ergebnis: </w:t>
      </w:r>
      <w:r>
        <w:t>Im Längsschnitt (within-individual): Personen, die in die Nähe verbesserter Waldflächen (≤800 m) zogen, zeigten eine reduzierte Verschreibungsrate für Antidepressiva (aOR 0,90, 95% CI 0,87–0,93) und Anxiolytika (aOR 0,94, 95% CI 0,90–0,99) im Vergleich zu Zeiträumen außerhalb dieser Gebiete. Die Umweltintervention hatte einen präventiven Effekt auf die Bevölkerungsmenge.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Schottische NHS-Daten, vergleichbares Sozialversicherungssystem; EU-Finanzierung</w:t>
      </w:r>
    </w:p>
    <w:p>
      <w:r>
        <w:rPr>
          <w:color w:val="5A7D3A"/>
          <w:sz w:val="18"/>
        </w:rPr>
        <w:t>https://pubmed.ncbi.nlm.nih.gov/42594933/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