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10.09.2026  |  6 Studien  |  mental.m-vf.de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Frühe Psychosebehandlung braucht Beziehungsarbeit, Toleranz von Unsicherheit und Recovery-Hoffnung als Treue-Marker</w:t>
      </w:r>
    </w:p>
    <w:p>
      <w:r>
        <w:rPr>
          <w:i/>
          <w:color w:val="666666"/>
          <w:sz w:val="18"/>
        </w:rPr>
        <w:t>O' Connor K MD, MSc (Leadership), MRCPsych et al.  ·  BMJ Ment Health  ·  09.09.2026  ·  PMID 42716695</w:t>
      </w:r>
    </w:p>
    <w:p>
      <w:r>
        <w:t>Perspektiv-Paper zu Early Intervention in Psychosis (EIP): konzeptuelle Analyse der relationalen Arbeit in EIP-Programmen (Vereinigtes Königreich, Irland); keine primäre Studiendaten.</w:t>
      </w:r>
    </w:p>
    <w:p>
      <w:r>
        <w:rPr>
          <w:b/>
        </w:rPr>
        <w:t xml:space="preserve">Ergebnis: </w:t>
      </w:r>
      <w:r>
        <w:t>EIP erfordert nachhaltige Beziehung, Mentalitätswechsel zur Mehrperspektivität, Stigma-Navigation; zentral: Toleranz von Unsicherheit, Hoffnungspflege. Organisatorische Risiken: Burnout, Grenzverletzungen, Ressourcenknappheit. "Relationale Fidelität" (Bewahrung der Bedingungen für Vertrauensbeziehung, Kontinuität) als Fidelity-Kriterium nötig; Caseload-Größe und Supervision entscheidend.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UK/Irland, EIP-Perspektive; Deutschland hat EIP-Strukturen – Empfehlung zu Beteiligung, Supervision, angemessene Ausstattung direkt übertragbar.</w:t>
      </w:r>
    </w:p>
    <w:p>
      <w:r>
        <w:rPr>
          <w:color w:val="5A7D3A"/>
          <w:sz w:val="18"/>
        </w:rPr>
        <w:t>https://pubmed.ncbi.nlm.nih.gov/42716695/</w:t>
      </w:r>
    </w:p>
    <w:p>
      <w:pPr>
        <w:pStyle w:val="Heading2"/>
      </w:pPr>
      <w:r>
        <w:t>Psychodynamische Psychotherapie verbessert Psychosoziale Funktionen bei Schizophrenie um 3–4 Skalenpunkte</w:t>
      </w:r>
    </w:p>
    <w:p>
      <w:r>
        <w:rPr>
          <w:i/>
          <w:color w:val="666666"/>
          <w:sz w:val="18"/>
        </w:rPr>
        <w:t>Montag C et al.  ·  Lancet Psychiatry  ·  Okt. 2026  ·  PMID 42716057</w:t>
      </w:r>
    </w:p>
    <w:p>
      <w:r>
        <w:t>Randomisierte Studie in Berlin (130 Patienten mit Schizophrenie/Schizoaffektiver Störung): Modified Psychodynamic Psychotherapy for Schizophrenia (MPP-S, mind. 30 Sitzungen) + Treatment as Usual vs. TAU allein über 36 Monate.</w:t>
      </w:r>
    </w:p>
    <w:p>
      <w:r>
        <w:rPr>
          <w:b/>
        </w:rPr>
        <w:t xml:space="preserve">Ergebnis: </w:t>
      </w:r>
      <w:r>
        <w:t>Signifikante Verbesserung der psychosozialen Funktionen (Mini-ICF-APP): Gruppendifferenz bei 24 Monaten -3,45 (95% KI -5,51 bis -1,40; p=0,0011), bei 36 Monaten -4,07 (-6,19 bis -1,94; p=0,0002); keine Unterschiede in unerwünschten Ereignissen; 2 Suizide in beiden Gruppen, 1 Überstellung in forensische Psychiatrie (MPP-S Gruppe, kein Therapiestart).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Berlin: Deutsche Kliniken, Kassenfinanzierung, Richtlinienpsychotherapie anwendbar.</w:t>
      </w:r>
    </w:p>
    <w:p>
      <w:r>
        <w:rPr>
          <w:color w:val="5A7D3A"/>
          <w:sz w:val="18"/>
        </w:rPr>
        <w:t>https://pubmed.ncbi.nlm.nih.gov/42716057/</w:t>
      </w:r>
    </w:p>
    <w:p>
      <w:pPr>
        <w:pStyle w:val="Heading2"/>
      </w:pPr>
      <w:r>
        <w:t>Intensive aufsuchende Gemeindebehandlung für junge Menschen: Vertrauensarbeit schlägt Symptom-Fokus</w:t>
      </w:r>
    </w:p>
    <w:p>
      <w:r>
        <w:rPr>
          <w:i/>
          <w:color w:val="666666"/>
          <w:sz w:val="18"/>
        </w:rPr>
        <w:t>Atanda O et al.  ·  PLoS One  ·  09.09.2026  ·  PMID 42715183</w:t>
      </w:r>
    </w:p>
    <w:p>
      <w:r>
        <w:t>Prozess-Evaluierung einer RCT zu Intensive Community Care Services (ICCS) vs. TAU für Kinder/Jugendliche: 34 halbstrukturierte Interviews mit Fachpersonen (20 ICCS, 14 TAU) in englischen Diensten; thematische Analyse.</w:t>
      </w:r>
    </w:p>
    <w:p>
      <w:r>
        <w:rPr>
          <w:b/>
        </w:rPr>
        <w:t xml:space="preserve">Ergebnis: </w:t>
      </w:r>
      <w:r>
        <w:t>Drei Themen: (1) Beziehungs-Ökologien (Barrieren/Enablers für Engagement), (2) Flexibilität trotz Systemdruck, (3) Vertrauensnetz in Beziehungsaufbau. Zentral: nicht-klinische Engagement-Strategien (informelle Besuche, personalisierte Interaktionen) nötig für Vertrauen; ohne Vertrauen sinkt Behandlungseffektivität; Flexibilität bei Dauer + Methoden essentiell; ICCS zeigte bessere Ergebnisse durch Anpassung an Bedarf statt Standardmodell.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 CAMHS: Kinder/Jugendliche, aufsuchend; Prinzipien auf deutsche KJHP-Dienste übertragbar.</w:t>
      </w:r>
    </w:p>
    <w:p>
      <w:r>
        <w:rPr>
          <w:color w:val="5A7D3A"/>
          <w:sz w:val="18"/>
        </w:rPr>
        <w:t>https://pubmed.ncbi.nlm.nih.gov/42715183/</w:t>
      </w:r>
    </w:p>
    <w:p>
      <w:pPr>
        <w:pStyle w:val="Heading2"/>
      </w:pPr>
      <w:r>
        <w:t>Peer Support wirkt über Hoffnung und soziale Einbindung, nicht direkt auf Genesung</w:t>
      </w:r>
    </w:p>
    <w:p>
      <w:r>
        <w:rPr>
          <w:i/>
          <w:color w:val="666666"/>
          <w:sz w:val="18"/>
        </w:rPr>
        <w:t>Hiltensperger R et al.  ·  Epidemiol Psychiatr Sci  ·  09.09.2026  ·  PMID 42713678</w:t>
      </w:r>
    </w:p>
    <w:p>
      <w:r>
        <w:t>Multinationale UPSIDES-RCT (565 Schwer-Erkrankte in Deutschland, Uganda, Tansania, Indien, Israel): strukturiertes Peer Support (6–8 Monate) vs. Kontrolle; Wirkmechanismen via Mediationsanalyse untersucht.</w:t>
      </w:r>
    </w:p>
    <w:p>
      <w:r>
        <w:rPr>
          <w:b/>
        </w:rPr>
        <w:t xml:space="preserve">Ergebnis: </w:t>
      </w:r>
      <w:r>
        <w:t>Keine direkten Effekte von Peer Support auf persönliche Recovery oder psychische Funktionen (Modelle zeigten stabile autoregressive Effekte). Signifikante indirekte Effekte über soziale Einbindung (β=0,114, 95% KI [0,049–0,194], p&lt;0,05) und Hoffnung (β=0,037, 95% KI [0,001–0,086], p&lt;0,05); ähnliche Muster für Funktionen. Personen mit niedriger Baseline-Hoffnung/sozialer Einbindung profitieren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Multiländer: inkl. Deutschland (Hamburg), hohe Übertragbarkeit auf gemeindepsychiatrische Träger, Kostenträger-Modelle.</w:t>
      </w:r>
    </w:p>
    <w:p>
      <w:r>
        <w:rPr>
          <w:color w:val="5A7D3A"/>
          <w:sz w:val="18"/>
        </w:rPr>
        <w:t>https://pubmed.ncbi.nlm.nih.gov/42713678/</w:t>
      </w:r>
    </w:p>
    <w:p>
      <w:pPr>
        <w:pStyle w:val="Heading2"/>
      </w:pPr>
      <w:r>
        <w:t>Bewegungsangebote auf Akutstation: erreichbar, wenn Fachkräfte und Patienten Ko-Design gestalten</w:t>
      </w:r>
    </w:p>
    <w:p>
      <w:r>
        <w:rPr>
          <w:i/>
          <w:color w:val="666666"/>
          <w:sz w:val="18"/>
        </w:rPr>
        <w:t>Glascott M et al.  ·  Int J Ment Health Nurs  ·  Okt. 2026  ·  PMID 42706819</w:t>
      </w:r>
    </w:p>
    <w:p>
      <w:r>
        <w:t>Qualitative Studie in 2 englischen NHS-Trusts (30 Teilnehmer: Pflegefachpersonen, Multidisziplinäres Team, Erlebnis-Expertise): Fokusgruppen zu Barrieren/Chancen und Umsetzung von Bewegungsinterventionen auf Akutstationen.</w:t>
      </w:r>
    </w:p>
    <w:p>
      <w:r>
        <w:rPr>
          <w:b/>
        </w:rPr>
        <w:t xml:space="preserve">Ergebnis: </w:t>
      </w:r>
      <w:r>
        <w:t>Barrieren: Patient:innen-Akuität, Nebenwirkungen, restriktive Praktiken, Fachkraftmangel, Stationsorganisation. Enablers: Pflegeleitung, flexible/relationale Angebote, Mitarbeitendenbeteiligung, aktive Patient:innenbeteiligung im Design; Evaluation sollte Durchführbarkeit + Patient:innen-Zentred-Ergebnisse (inkl. Stationsatmosphäre, Teamwohlbefinden) berücksichtigen. Bewegung ist erreichbar bei Anpassung an Realität von Akutstationen.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England/UK, NHS: Akutstationen, Personalstruktur vergleichbar; lokale Anpassung nötig.</w:t>
      </w:r>
    </w:p>
    <w:p>
      <w:r>
        <w:rPr>
          <w:color w:val="5A7D3A"/>
          <w:sz w:val="18"/>
        </w:rPr>
        <w:t>https://pubmed.ncbi.nlm.nih.gov/42706819/</w:t>
      </w:r>
    </w:p>
    <w:p>
      <w:pPr>
        <w:pStyle w:val="Heading2"/>
      </w:pPr>
      <w:r>
        <w:t>Open Dialogue reduziert Notaufnahmen und Wiederaufnahmen stärker als reguläre Krisenversorgung</w:t>
      </w:r>
    </w:p>
    <w:p>
      <w:r>
        <w:rPr>
          <w:i/>
          <w:color w:val="666666"/>
          <w:sz w:val="18"/>
        </w:rPr>
        <w:t>Pilling S et al.  ·  Lancet Psychiatry  ·  26.08.2026  ·  PMID 42648300</w:t>
      </w:r>
    </w:p>
    <w:p>
      <w:r>
        <w:t>Cluster-randomisierte Studie mit 494 Patienten (&gt;80% Recovery nach initialer Krise) in englischen Krisendiensten: Open Dialogue (Dialogische Systemische Therapie mit Angehörigen) vs. reguläre Behandlung über 2 Jahre.</w:t>
      </w:r>
    </w:p>
    <w:p>
      <w:r>
        <w:rPr>
          <w:b/>
        </w:rPr>
        <w:t xml:space="preserve">Ergebnis: </w:t>
      </w:r>
      <w:r>
        <w:t>Open Dialogue verringerte Notaufnahmen (unadjustiert signifikant), Re-Kontakte zu Krisendiensten und psychiatrische stationäre Aufnahmen signifikant; zeitlich bis erste Rückfallrate nicht reduziert (Hazard Ratio 0,95 [95% KI 0,67–1,32]); Patientenzufriedenheit, Lebensqualität und Selbstberichtetes Recovery deutlich besser; kein erhöhtes Sicherheitsrisiko (376/386 SAE unbezogen zur Intervention).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vergleichbar: NHS-Versorgung, Krisendienste, Angehörigenarbeit; Kostenersparnis durch weniger Notaufnahmen relevant.</w:t>
      </w:r>
    </w:p>
    <w:p>
      <w:r>
        <w:rPr>
          <w:color w:val="5A7D3A"/>
          <w:sz w:val="18"/>
        </w:rPr>
        <w:t>https://pubmed.ncbi.nlm.nih.gov/42648300/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