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25.10.2026  |  6 Studien  |  ncd.m-vf.de</w:t>
      </w:r>
    </w:p>
    <w:p>
      <w:pPr>
        <w:pStyle w:val="Heading1"/>
      </w:pPr>
      <w:r>
        <w:t>Aufgenommen am 25.10.2026</w:t>
      </w:r>
    </w:p>
    <w:p>
      <w:pPr>
        <w:pStyle w:val="Heading2"/>
      </w:pPr>
      <w:r>
        <w:t>Respiratorisches Versagen bei COPD-Exazerbation: Neun Risikofaktoren identifiziert</w:t>
      </w:r>
    </w:p>
    <w:p>
      <w:r>
        <w:rPr>
          <w:i/>
          <w:color w:val="666666"/>
          <w:sz w:val="18"/>
        </w:rPr>
        <w:t>Liu D et al.  ·  Clin Respir J  ·  Okt. 2026  ·  PMID 42919454</w:t>
      </w:r>
    </w:p>
    <w:p>
      <w:r>
        <w:t>Systematische Übersicht und Metaanalyse von 23 Studien (4.212 Patienten) zur Häufigkeit und Risikofaktoren für respiratorisches Versagen bei hospitalisierten Patienten mit akuter COPD-Exazerbation in China.</w:t>
      </w:r>
    </w:p>
    <w:p>
      <w:r>
        <w:rPr>
          <w:b/>
        </w:rPr>
        <w:t xml:space="preserve">Ergebnis: </w:t>
      </w:r>
      <w:r>
        <w:t>Ereignisquote respiratorisches Versagen 41% (95%-KI 0,37–0,46). Neun unabhängige Risikofaktoren: kardiale Komorbiditäten (OR 2,12), höheres Alter (OR 1,22), erhöhtes Neutrophil-Lymphozyten-Verhältnis (OR 1,87), Procalcitonin (OR 2,27), D-Dimer (OR 1,72), ≥2 Exazerbationen/Jahr (OR 2,48), APACHE-II-Score (OR 1,29), CRP (OR 1,13), FEV₁% erniedrigt (OR 0,81).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Unterschiede in Versorgungsstruktur und Patientenpopulation; Befunde zur Risikostratifizierung jedoch übertragbar</w:t>
      </w:r>
    </w:p>
    <w:p>
      <w:r>
        <w:rPr>
          <w:color w:val="5A7D3A"/>
          <w:sz w:val="18"/>
        </w:rPr>
        <w:t>https://pubmed.ncbi.nlm.nih.gov/42919454/</w:t>
      </w:r>
    </w:p>
    <w:p>
      <w:pPr>
        <w:pStyle w:val="Heading2"/>
      </w:pPr>
      <w:r>
        <w:t>Knochendichte und Dialysedauer vorhersagend für körperlichen Verfall bei Hämodialysepatienten</w:t>
      </w:r>
    </w:p>
    <w:p>
      <w:r>
        <w:rPr>
          <w:i/>
          <w:color w:val="666666"/>
          <w:sz w:val="18"/>
        </w:rPr>
        <w:t>Madeira EAA et al.  ·  BMC Nephrol  ·  22.10.2026  ·  PMID 42919210</w:t>
      </w:r>
    </w:p>
    <w:p>
      <w:r>
        <w:t>Prospektive Beobachtungsstudie an 103 Hämodialysepatienten über 18,6 Monate zur Identifikation von Prädiktoren für körperliche Leistungsabnahme gemessen mit SPPB.</w:t>
      </w:r>
    </w:p>
    <w:p>
      <w:r>
        <w:rPr>
          <w:b/>
        </w:rPr>
        <w:t xml:space="preserve">Ergebnis: </w:t>
      </w:r>
      <w:r>
        <w:t>17,5% (18/103) erlebten körperlichen Verfall. Unabhängige Prädiktoren: niedrigere Oberschenkel-Knochenmineraldichte (OR 0,997, 95%-KI 0,991–0,999) und längere Dialysedauer (OR 1,009, 95%-KI 1,001–1,039). Baseline-Physiologie (z.B. Timed-up-and-go) diskriminierte nicht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Brasilien; Methodik und Ergebnis für deutsche Dialysezentren übertragbar</w:t>
      </w:r>
    </w:p>
    <w:p>
      <w:r>
        <w:rPr>
          <w:color w:val="5A7D3A"/>
          <w:sz w:val="18"/>
        </w:rPr>
        <w:t>https://pubmed.ncbi.nlm.nih.gov/42919210/</w:t>
      </w:r>
    </w:p>
    <w:p>
      <w:pPr>
        <w:pStyle w:val="Heading2"/>
      </w:pPr>
      <w:r>
        <w:t>CGM bremst Nierenfunktionsverschlechterung bei Diabetes und CKD</w:t>
      </w:r>
    </w:p>
    <w:p>
      <w:r>
        <w:rPr>
          <w:i/>
          <w:color w:val="666666"/>
          <w:sz w:val="18"/>
        </w:rPr>
        <w:t>Hannah KL et al.  ·  Endocrinol Diabetes Metab  ·  Nov. 2026  ·  PMID 42912845</w:t>
      </w:r>
    </w:p>
    <w:p>
      <w:r>
        <w:t>Retrospektive Kohortenstudie in USA (Truveta EMR) mit Propensity Matching zu Effekten von Echtzeit-CGM auf Nierenfunktion bei insulinbehandelten Patienten mit Diabetes und CKD (eGFR 15–89).</w:t>
      </w:r>
    </w:p>
    <w:p>
      <w:r>
        <w:rPr>
          <w:b/>
        </w:rPr>
        <w:t xml:space="preserve">Ergebnis: </w:t>
      </w:r>
      <w:r>
        <w:t>CGM-Nutzer (n=518) zeigten signifikant langsamere eGFR-Abnahme als Nicht-Nutzer über 3 Jahre. Kein signifikanter Unterschied in Albumin-Kreatinin-Ratio. CGM assoziiert mit stärkerer HbA₁c-Senkung. Befund unterstützt CGM-Einsatz bei Diabetes und CKD.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aus großem EMR-Netzwerk; Ergebnis zur Technologiebewertung in Deutschland relevant</w:t>
      </w:r>
    </w:p>
    <w:p>
      <w:r>
        <w:rPr>
          <w:color w:val="5A7D3A"/>
          <w:sz w:val="18"/>
        </w:rPr>
        <w:t>https://pubmed.ncbi.nlm.nih.gov/42912845/</w:t>
      </w:r>
    </w:p>
    <w:p>
      <w:pPr>
        <w:pStyle w:val="Heading2"/>
      </w:pPr>
      <w:r>
        <w:t>Übergänge von Klinik zu Hause bei chronischen Erkrankungen sind unzureichend koordiniert</w:t>
      </w:r>
    </w:p>
    <w:p>
      <w:r>
        <w:rPr>
          <w:i/>
          <w:color w:val="666666"/>
          <w:sz w:val="18"/>
        </w:rPr>
        <w:t>Castro LY et al.  ·  Rev Gaucha Enferm  ·  16.10.2026  ·  PMID 42912024</w:t>
      </w:r>
    </w:p>
    <w:p>
      <w:r>
        <w:t>Gemischte Methoden-Studie in Brasilien (quantitativ: 166 Patienten nach Entlassung mit Care Transitions Measure; qualitativ: zwei Fokusgruppen mit 9 und 7 Fachpersonen) zu Übergängen bei chronischen Erkrankungen.</w:t>
      </w:r>
    </w:p>
    <w:p>
      <w:r>
        <w:rPr>
          <w:b/>
        </w:rPr>
        <w:t xml:space="preserve">Ergebnis: </w:t>
      </w:r>
      <w:r>
        <w:t>Gesamtbewertung Übergänge unbefriedigend (62,62±9,03 von 100). Höchste Scores bei Gesundheitsmanagement (73,24±10,24), niedrigste bei Versorgungsplan (56,12±17,56). Männer bessere Scores als Frauen bei Gesundheitsmanagement und Gesamtbewertung. Qualitativ: Mängel in Entlassungsplanung, interprofessioneller Kommunikation und Patientenbeteiligung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privates System; Befunde zu Koordinationslücken in Deutschland relevant</w:t>
      </w:r>
    </w:p>
    <w:p>
      <w:r>
        <w:rPr>
          <w:color w:val="5A7D3A"/>
          <w:sz w:val="18"/>
        </w:rPr>
        <w:t>https://pubmed.ncbi.nlm.nih.gov/42912024/</w:t>
      </w:r>
    </w:p>
    <w:p>
      <w:pPr>
        <w:pStyle w:val="Heading2"/>
      </w:pPr>
      <w:r>
        <w:t>Krankheitsstabilität nach 6 Monaten sagt 12-Monats-Verlauf bei COPD voraus</w:t>
      </w:r>
    </w:p>
    <w:p>
      <w:r>
        <w:rPr>
          <w:i/>
          <w:color w:val="666666"/>
          <w:sz w:val="18"/>
        </w:rPr>
        <w:t>Ou WF et al.  ·  Ther Adv Respir Dis  ·  22.10.2026  ·  PMID 42911762</w:t>
      </w:r>
    </w:p>
    <w:p>
      <w:r>
        <w:t>Retrospektive multizentrische Kohortenstudie an 250 COPD-Patienten aus Taiwan zur longitudinalen Stabilität der Erkrankung (definiert als keine schweren Exazerbationen, CAAT-Score &lt;2-Punkt-Verschlechterung, FEV₁-Erhalt) zwischen 6 und 12 Monaten.</w:t>
      </w:r>
    </w:p>
    <w:p>
      <w:r>
        <w:rPr>
          <w:b/>
        </w:rPr>
        <w:t xml:space="preserve">Ergebnis: </w:t>
      </w:r>
      <w:r>
        <w:t>45,6% (114/250) erreichten 6-Monats-Stabilität, 37,6% (94/250) 12-Monats-Stabilität. Von Patienten mit 6-Monats-Stabilität erreichten 68,4% auch 12-Monats-Stabilität vs. 11,8% ohne Stabilität. 6-Monats-Stabilität stark mit 12-Monats-Outcome assoziiert (aOR 11,72, 95%-KI 5,67–24,22). Stabilität im erweiterten Kohort ähnlich (aOR 14,33).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Taiwan, Versorgungsstruktur und Methodik unterschiedlich; Konzept der Krankheitsstabilität international relevant</w:t>
      </w:r>
    </w:p>
    <w:p>
      <w:r>
        <w:rPr>
          <w:color w:val="5A7D3A"/>
          <w:sz w:val="18"/>
        </w:rPr>
        <w:t>https://pubmed.ncbi.nlm.nih.gov/42911762/</w:t>
      </w:r>
    </w:p>
    <w:p>
      <w:pPr>
        <w:pStyle w:val="Heading2"/>
      </w:pPr>
      <w:r>
        <w:t>Statine vor Operation senken Sterblichkeit bei chronischen Subduralhämatomen</w:t>
      </w:r>
    </w:p>
    <w:p>
      <w:r>
        <w:rPr>
          <w:i/>
          <w:color w:val="666666"/>
          <w:sz w:val="18"/>
        </w:rPr>
        <w:t>Posti JP et al.  ·  Age Ageing  ·  03.08.2026  ·  PMID 42910913</w:t>
      </w:r>
    </w:p>
    <w:p>
      <w:r>
        <w:t>Finnische Registerstudie an 9.001 operierten Patienten mit chronischem Subduralhämatom zur Assoziation zwischen präoperativer Statin-Nutzung und kurzfristigen sowie langfristigen Ergebnissen.</w:t>
      </w:r>
    </w:p>
    <w:p>
      <w:r>
        <w:rPr>
          <w:b/>
        </w:rPr>
        <w:t xml:space="preserve">Ergebnis: </w:t>
      </w:r>
      <w:r>
        <w:t>30-Tage-Mortalität 3,3% unter Statin vs. 4,5% ohne (adjustierte HR 0,57, 95%-KI 0,44–0,73). Krankenhausaufenthalt kürzer unter Statinen (22,1 vs. 26,3 Tage, p=0,002). Ein-Jahres-Mortalität 13,3% vs. 15,4% (HR 0,66, 95%-KI 0,58–0,75). Wiederoperationsraten ähnlich. Befund deutet auf Schutzeffekt hin, Mechanismus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Finnland, vergleichbares nordeuropäisches System; Registerqualität hoch</w:t>
      </w:r>
    </w:p>
    <w:p>
      <w:r>
        <w:rPr>
          <w:color w:val="5A7D3A"/>
          <w:sz w:val="18"/>
        </w:rPr>
        <w:t>https://pubmed.ncbi.nlm.nih.gov/42910913/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2026-10-25T06:00:00Z</dcterms:created>
  <dcterms:modified xsi:type="dcterms:W3CDTF">2026-10-25T06:00:00Z</dcterms:modified>
  <cp:category/>
</cp:coreProperties>
</file>