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25.10.2026  |  383 Studien  |  ncd.m-vf.de</w:t>
      </w:r>
    </w:p>
    <w:p>
      <w:pPr>
        <w:pStyle w:val="Heading1"/>
      </w:pPr>
      <w:r>
        <w:t>Aufgenommen am 25.10.2026</w:t>
      </w:r>
    </w:p>
    <w:p>
      <w:pPr>
        <w:pStyle w:val="Heading2"/>
      </w:pPr>
      <w:r>
        <w:t>Respiratorisches Versagen bei COPD-Exazerbation: Neun Risikofaktoren identifiziert</w:t>
      </w:r>
    </w:p>
    <w:p>
      <w:r>
        <w:rPr>
          <w:i/>
          <w:color w:val="666666"/>
          <w:sz w:val="18"/>
        </w:rPr>
        <w:t>Liu D et al.  ·  Clin Respir J  ·  Okt. 2026  ·  PMID 42919454</w:t>
      </w:r>
    </w:p>
    <w:p>
      <w:r>
        <w:t>Systematische Übersicht und Metaanalyse von 23 Studien (4.212 Patienten) zur Häufigkeit und Risikofaktoren für respiratorisches Versagen bei hospitalisierten Patienten mit akuter COPD-Exazerbation in China.</w:t>
      </w:r>
    </w:p>
    <w:p>
      <w:r>
        <w:rPr>
          <w:b/>
        </w:rPr>
        <w:t xml:space="preserve">Ergebnis: </w:t>
      </w:r>
      <w:r>
        <w:t>Ereignisquote respiratorisches Versagen 41% (95%-KI 0,37–0,46). Neun unabhängige Risikofaktoren: kardiale Komorbiditäten (OR 2,12), höheres Alter (OR 1,22), erhöhtes Neutrophil-Lymphozyten-Verhältnis (OR 1,87), Procalcitonin (OR 2,27), D-Dimer (OR 1,72), ≥2 Exazerbationen/Jahr (OR 2,48), APACHE-II-Score (OR 1,29), CRP (OR 1,13), FEV₁% erniedrigt (OR 0,81).</w:t>
      </w:r>
    </w:p>
    <w:p>
      <w:r>
        <w:rPr>
          <w:b/>
          <w:sz w:val="19"/>
        </w:rPr>
        <w:t xml:space="preserve">Übertragbarkeit: </w:t>
      </w:r>
      <w:r>
        <w:rPr>
          <w:sz w:val="19"/>
        </w:rPr>
        <w:t>China, Unterschiede in Versorgungsstruktur und Patientenpopulation; Befunde zur Risikostratifizierung jedoch übertragbar</w:t>
      </w:r>
    </w:p>
    <w:p>
      <w:r>
        <w:rPr>
          <w:color w:val="5A7D3A"/>
          <w:sz w:val="18"/>
        </w:rPr>
        <w:t>https://pubmed.ncbi.nlm.nih.gov/42919454/</w:t>
      </w:r>
    </w:p>
    <w:p>
      <w:pPr>
        <w:pStyle w:val="Heading2"/>
      </w:pPr>
      <w:r>
        <w:t>Knochendichte und Dialysedauer vorhersagend für körperlichen Verfall bei Hämodialysepatienten</w:t>
      </w:r>
    </w:p>
    <w:p>
      <w:r>
        <w:rPr>
          <w:i/>
          <w:color w:val="666666"/>
          <w:sz w:val="18"/>
        </w:rPr>
        <w:t>Madeira EAA et al.  ·  BMC Nephrol  ·  22.10.2026  ·  PMID 42919210</w:t>
      </w:r>
    </w:p>
    <w:p>
      <w:r>
        <w:t>Prospektive Beobachtungsstudie an 103 Hämodialysepatienten über 18,6 Monate zur Identifikation von Prädiktoren für körperliche Leistungsabnahme gemessen mit SPPB.</w:t>
      </w:r>
    </w:p>
    <w:p>
      <w:r>
        <w:rPr>
          <w:b/>
        </w:rPr>
        <w:t xml:space="preserve">Ergebnis: </w:t>
      </w:r>
      <w:r>
        <w:t>17,5% (18/103) erlebten körperlichen Verfall. Unabhängige Prädiktoren: niedrigere Oberschenkel-Knochenmineraldichte (OR 0,997, 95%-KI 0,991–0,999) und längere Dialysedauer (OR 1,009, 95%-KI 1,001–1,039). Baseline-Physiologie (z.B. Timed-up-and-go) diskriminierte nicht signifikant.</w:t>
      </w:r>
    </w:p>
    <w:p>
      <w:r>
        <w:rPr>
          <w:b/>
          <w:sz w:val="19"/>
        </w:rPr>
        <w:t xml:space="preserve">Übertragbarkeit: </w:t>
      </w:r>
      <w:r>
        <w:rPr>
          <w:sz w:val="19"/>
        </w:rPr>
        <w:t>Brasilien; Methodik und Ergebnis für deutsche Dialysezentren übertragbar</w:t>
      </w:r>
    </w:p>
    <w:p>
      <w:r>
        <w:rPr>
          <w:color w:val="5A7D3A"/>
          <w:sz w:val="18"/>
        </w:rPr>
        <w:t>https://pubmed.ncbi.nlm.nih.gov/42919210/</w:t>
      </w:r>
    </w:p>
    <w:p>
      <w:pPr>
        <w:pStyle w:val="Heading2"/>
      </w:pPr>
      <w:r>
        <w:t>CGM bremst Nierenfunktionsverschlechterung bei Diabetes und CKD</w:t>
      </w:r>
    </w:p>
    <w:p>
      <w:r>
        <w:rPr>
          <w:i/>
          <w:color w:val="666666"/>
          <w:sz w:val="18"/>
        </w:rPr>
        <w:t>Hannah KL et al.  ·  Endocrinol Diabetes Metab  ·  Nov. 2026  ·  PMID 42912845</w:t>
      </w:r>
    </w:p>
    <w:p>
      <w:r>
        <w:t>Retrospektive Kohortenstudie in USA (Truveta EMR) mit Propensity Matching zu Effekten von Echtzeit-CGM auf Nierenfunktion bei insulinbehandelten Patienten mit Diabetes und CKD (eGFR 15–89).</w:t>
      </w:r>
    </w:p>
    <w:p>
      <w:r>
        <w:rPr>
          <w:b/>
        </w:rPr>
        <w:t xml:space="preserve">Ergebnis: </w:t>
      </w:r>
      <w:r>
        <w:t>CGM-Nutzer (n=518) zeigten signifikant langsamere eGFR-Abnahme als Nicht-Nutzer über 3 Jahre. Kein signifikanter Unterschied in Albumin-Kreatinin-Ratio. CGM assoziiert mit stärkerer HbA₁c-Senkung. Befund unterstützt CGM-Einsatz bei Diabetes und CKD.</w:t>
      </w:r>
    </w:p>
    <w:p>
      <w:r>
        <w:rPr>
          <w:b/>
          <w:sz w:val="19"/>
        </w:rPr>
        <w:t xml:space="preserve">Übertragbarkeit: </w:t>
      </w:r>
      <w:r>
        <w:rPr>
          <w:sz w:val="19"/>
        </w:rPr>
        <w:t>USA, Daten aus großem EMR-Netzwerk; Ergebnis zur Technologiebewertung in Deutschland relevant</w:t>
      </w:r>
    </w:p>
    <w:p>
      <w:r>
        <w:rPr>
          <w:color w:val="5A7D3A"/>
          <w:sz w:val="18"/>
        </w:rPr>
        <w:t>https://pubmed.ncbi.nlm.nih.gov/42912845/</w:t>
      </w:r>
    </w:p>
    <w:p>
      <w:pPr>
        <w:pStyle w:val="Heading2"/>
      </w:pPr>
      <w:r>
        <w:t>Übergänge von Klinik zu Hause bei chronischen Erkrankungen sind unzureichend koordiniert</w:t>
      </w:r>
    </w:p>
    <w:p>
      <w:r>
        <w:rPr>
          <w:i/>
          <w:color w:val="666666"/>
          <w:sz w:val="18"/>
        </w:rPr>
        <w:t>Castro LY et al.  ·  Rev Gaucha Enferm  ·  16.10.2026  ·  PMID 42912024</w:t>
      </w:r>
    </w:p>
    <w:p>
      <w:r>
        <w:t>Gemischte Methoden-Studie in Brasilien (quantitativ: 166 Patienten nach Entlassung mit Care Transitions Measure; qualitativ: zwei Fokusgruppen mit 9 und 7 Fachpersonen) zu Übergängen bei chronischen Erkrankungen.</w:t>
      </w:r>
    </w:p>
    <w:p>
      <w:r>
        <w:rPr>
          <w:b/>
        </w:rPr>
        <w:t xml:space="preserve">Ergebnis: </w:t>
      </w:r>
      <w:r>
        <w:t>Gesamtbewertung Übergänge unbefriedigend (62,62±9,03 von 100). Höchste Scores bei Gesundheitsmanagement (73,24±10,24), niedrigste bei Versorgungsplan (56,12±17,56). Männer bessere Scores als Frauen bei Gesundheitsmanagement und Gesamtbewertung. Qualitativ: Mängel in Entlassungsplanung, interprofessioneller Kommunikation und Patientenbeteiligung identifiziert.</w:t>
      </w:r>
    </w:p>
    <w:p>
      <w:r>
        <w:rPr>
          <w:b/>
          <w:sz w:val="19"/>
        </w:rPr>
        <w:t xml:space="preserve">Übertragbarkeit: </w:t>
      </w:r>
      <w:r>
        <w:rPr>
          <w:sz w:val="19"/>
        </w:rPr>
        <w:t>Brasilien, privates System; Befunde zu Koordinationslücken in Deutschland relevant</w:t>
      </w:r>
    </w:p>
    <w:p>
      <w:r>
        <w:rPr>
          <w:color w:val="5A7D3A"/>
          <w:sz w:val="18"/>
        </w:rPr>
        <w:t>https://pubmed.ncbi.nlm.nih.gov/42912024/</w:t>
      </w:r>
    </w:p>
    <w:p>
      <w:pPr>
        <w:pStyle w:val="Heading2"/>
      </w:pPr>
      <w:r>
        <w:t>Krankheitsstabilität nach 6 Monaten sagt 12-Monats-Verlauf bei COPD voraus</w:t>
      </w:r>
    </w:p>
    <w:p>
      <w:r>
        <w:rPr>
          <w:i/>
          <w:color w:val="666666"/>
          <w:sz w:val="18"/>
        </w:rPr>
        <w:t>Ou WF et al.  ·  Ther Adv Respir Dis  ·  22.10.2026  ·  PMID 42911762</w:t>
      </w:r>
    </w:p>
    <w:p>
      <w:r>
        <w:t>Retrospektive multizentrische Kohortenstudie an 250 COPD-Patienten aus Taiwan zur longitudinalen Stabilität der Erkrankung (definiert als keine schweren Exazerbationen, CAAT-Score &lt;2-Punkt-Verschlechterung, FEV₁-Erhalt) zwischen 6 und 12 Monaten.</w:t>
      </w:r>
    </w:p>
    <w:p>
      <w:r>
        <w:rPr>
          <w:b/>
        </w:rPr>
        <w:t xml:space="preserve">Ergebnis: </w:t>
      </w:r>
      <w:r>
        <w:t>45,6% (114/250) erreichten 6-Monats-Stabilität, 37,6% (94/250) 12-Monats-Stabilität. Von Patienten mit 6-Monats-Stabilität erreichten 68,4% auch 12-Monats-Stabilität vs. 11,8% ohne Stabilität. 6-Monats-Stabilität stark mit 12-Monats-Outcome assoziiert (aOR 11,72, 95%-KI 5,67–24,22). Stabilität im erweiterten Kohort ähnlich (aOR 14,33).</w:t>
      </w:r>
    </w:p>
    <w:p>
      <w:r>
        <w:rPr>
          <w:b/>
          <w:sz w:val="19"/>
        </w:rPr>
        <w:t xml:space="preserve">Übertragbarkeit: </w:t>
      </w:r>
      <w:r>
        <w:rPr>
          <w:sz w:val="19"/>
        </w:rPr>
        <w:t>Taiwan, Versorgungsstruktur und Methodik unterschiedlich; Konzept der Krankheitsstabilität international relevant</w:t>
      </w:r>
    </w:p>
    <w:p>
      <w:r>
        <w:rPr>
          <w:color w:val="5A7D3A"/>
          <w:sz w:val="18"/>
        </w:rPr>
        <w:t>https://pubmed.ncbi.nlm.nih.gov/42911762/</w:t>
      </w:r>
    </w:p>
    <w:p>
      <w:pPr>
        <w:pStyle w:val="Heading2"/>
      </w:pPr>
      <w:r>
        <w:t>Statine vor Operation senken Sterblichkeit bei chronischen Subduralhämatomen</w:t>
      </w:r>
    </w:p>
    <w:p>
      <w:r>
        <w:rPr>
          <w:i/>
          <w:color w:val="666666"/>
          <w:sz w:val="18"/>
        </w:rPr>
        <w:t>Posti JP et al.  ·  Age Ageing  ·  03.08.2026  ·  PMID 42910913</w:t>
      </w:r>
    </w:p>
    <w:p>
      <w:r>
        <w:t>Finnische Registerstudie an 9.001 operierten Patienten mit chronischem Subduralhämatom zur Assoziation zwischen präoperativer Statin-Nutzung und kurzfristigen sowie langfristigen Ergebnissen.</w:t>
      </w:r>
    </w:p>
    <w:p>
      <w:r>
        <w:rPr>
          <w:b/>
        </w:rPr>
        <w:t xml:space="preserve">Ergebnis: </w:t>
      </w:r>
      <w:r>
        <w:t>30-Tage-Mortalität 3,3% unter Statin vs. 4,5% ohne (adjustierte HR 0,57, 95%-KI 0,44–0,73). Krankenhausaufenthalt kürzer unter Statinen (22,1 vs. 26,3 Tage, p=0,002). Ein-Jahres-Mortalität 13,3% vs. 15,4% (HR 0,66, 95%-KI 0,58–0,75). Wiederoperationsraten ähnlich. Befund deutet auf Schutzeffekt hin, Mechanismus unklar.</w:t>
      </w:r>
    </w:p>
    <w:p>
      <w:r>
        <w:rPr>
          <w:b/>
          <w:sz w:val="19"/>
        </w:rPr>
        <w:t xml:space="preserve">Übertragbarkeit: </w:t>
      </w:r>
      <w:r>
        <w:rPr>
          <w:sz w:val="19"/>
        </w:rPr>
        <w:t>Finnland, vergleichbares nordeuropäisches System; Registerqualität hoch</w:t>
      </w:r>
    </w:p>
    <w:p>
      <w:r>
        <w:rPr>
          <w:color w:val="5A7D3A"/>
          <w:sz w:val="18"/>
        </w:rPr>
        <w:t>https://pubmed.ncbi.nlm.nih.gov/42910913/</w:t>
      </w:r>
    </w:p>
    <w:p>
      <w:pPr>
        <w:pStyle w:val="Heading1"/>
      </w:pPr>
      <w:r>
        <w:t>Aufgenommen am 24.10.2026</w:t>
      </w:r>
    </w:p>
    <w:p>
      <w:pPr>
        <w:pStyle w:val="Heading2"/>
      </w:pPr>
      <w:r>
        <w:t>Hypertonie führt strukturiert zu Herzkrankheit und Schlaganfall, Diabetes verbindet kardiovaskuläre und Multiorgan-Wege</w:t>
      </w:r>
    </w:p>
    <w:p>
      <w:r>
        <w:rPr>
          <w:i/>
          <w:color w:val="666666"/>
          <w:sz w:val="18"/>
        </w:rPr>
        <w:t>Wang Y et al.  ·  JMIR Public Health Surveill  ·  23.10.2026  ·  PMID 42912827</w:t>
      </w:r>
    </w:p>
    <w:p>
      <w:r>
        <w:t>Retrospektive Kohortenanalyse von 34.099 stationären Patienten mit Hypertonie in ländlichen Gegenden Henans zu zeitlichen Mustern der Mehrfacherkrankungsentwicklung mittels Netzwerkanalyse.</w:t>
      </w:r>
    </w:p>
    <w:p>
      <w:r>
        <w:rPr>
          <w:b/>
        </w:rPr>
        <w:t xml:space="preserve">Ergebnis: </w:t>
      </w:r>
      <w:r>
        <w:t>Zeitliches Komorbiditätsnetzwerk zeigte dichtes Zentrum aus Hypertonie, atherosklerotischer Herzkrankheit und zerebralem Infarkt; Typ-2-Diabetes in Brückenfunktion zwischen kardiovaskulären und Multisystem-Clustern. Geschlechtsspezifische Unterschiede: frühere Koronarbeteiligung bei Frauen, direktere Schlaganfall-Progression bei Männern.</w:t>
      </w:r>
    </w:p>
    <w:p>
      <w:r>
        <w:rPr>
          <w:b/>
          <w:sz w:val="19"/>
        </w:rPr>
        <w:t xml:space="preserve">Übertragbarkeit: </w:t>
      </w:r>
      <w:r>
        <w:rPr>
          <w:sz w:val="19"/>
        </w:rPr>
        <w:t>China/ländlich, EHR-Daten 2019–2023, zeigt strukturierte Krankheitsprogression jenseits von Gesundheitssystemen.</w:t>
      </w:r>
    </w:p>
    <w:p>
      <w:r>
        <w:rPr>
          <w:color w:val="5A7D3A"/>
          <w:sz w:val="18"/>
        </w:rPr>
        <w:t>https://pubmed.ncbi.nlm.nih.gov/42912827/</w:t>
      </w:r>
    </w:p>
    <w:p>
      <w:pPr>
        <w:pStyle w:val="Heading2"/>
      </w:pPr>
      <w:r>
        <w:t>Zu niedrige Proteinzufuhr erhöht Nierenversagen bei CKD um 42 Prozent</w:t>
      </w:r>
    </w:p>
    <w:p>
      <w:r>
        <w:rPr>
          <w:i/>
          <w:color w:val="666666"/>
          <w:sz w:val="18"/>
        </w:rPr>
        <w:t>Suh SH et al.  ·  JAMA Netw Open  ·  01.10.2026  ·  PMID 42911593</w:t>
      </w:r>
    </w:p>
    <w:p>
      <w:r>
        <w:t>Prospektive Kohortenstudie mit 1.861 CKD-Patienten (Stad. 1–5) aus Südkorea zur Assoziation zwischen täglicher Proteinaufnahme und Nierenversagen oder Sterblichkeit.</w:t>
      </w:r>
    </w:p>
    <w:p>
      <w:r>
        <w:rPr>
          <w:b/>
        </w:rPr>
        <w:t xml:space="preserve">Ergebnis: </w:t>
      </w:r>
      <w:r>
        <w:t>Patienten mit Proteinaufnahme &lt;0,6 g/kg/Tag (vs. &gt;1,2 g/kg/Tag) hatten erhöhtes Risiko für Nierenversagen-Ersatztherapie (sHR 1,42, 95% KI 1,09–1,85) und All-Cause-Mortalität (sHR 2,17, 95% KI 1,17–4,03). Rigide Proteinrestriktion war nicht mit Nephroprotektionen assoziiert.</w:t>
      </w:r>
    </w:p>
    <w:p>
      <w:r>
        <w:rPr>
          <w:b/>
          <w:sz w:val="19"/>
        </w:rPr>
        <w:t xml:space="preserve">Übertragbarkeit: </w:t>
      </w:r>
      <w:r>
        <w:rPr>
          <w:sz w:val="19"/>
        </w:rPr>
        <w:t>Südkorea, vergleichbares Sozialversicherungssystem, Befund zu Ernährung unabhängig vom System.</w:t>
      </w:r>
    </w:p>
    <w:p>
      <w:r>
        <w:rPr>
          <w:color w:val="5A7D3A"/>
          <w:sz w:val="18"/>
        </w:rPr>
        <w:t>https://pubmed.ncbi.nlm.nih.gov/42911593/</w:t>
      </w:r>
    </w:p>
    <w:p>
      <w:pPr>
        <w:pStyle w:val="Heading2"/>
      </w:pPr>
      <w:r>
        <w:t>Soziale Unterstützung und emotionale Symptome verbessern Selbstmanagement bei Hepatitis-B-Patienten um 4,8 und 1,9 Punkte</w:t>
      </w:r>
    </w:p>
    <w:p>
      <w:r>
        <w:rPr>
          <w:i/>
          <w:color w:val="666666"/>
          <w:sz w:val="18"/>
        </w:rPr>
        <w:t>Yi WT et al.  ·  Front Public Health  ·  07.10.2026  ·  PMID 42908953</w:t>
      </w:r>
    </w:p>
    <w:p>
      <w:r>
        <w:t>Multizentrische Querschnittstudie mit 583 Hepatitis-B-Patienten in China zur unabhängigen Assoziation von sozialer Unterstützung und krankheitsspezifischen Lebensqualitätsdomänen mit Selbstmanagement.</w:t>
      </w:r>
    </w:p>
    <w:p>
      <w:r>
        <w:rPr>
          <w:b/>
        </w:rPr>
        <w:t xml:space="preserve">Ergebnis: </w:t>
      </w:r>
      <w:r>
        <w:t>Mittlerer Selbstmanagement-Score 85,03±19,38. Soziale Unterstützung (B=0,577, 95% KI 0,416–0,739), emotionale Symptomdomäne (B=0,170, 95% KI 0,039–0,301) und weniger soziale Stigmatisierung (B=0,235, 95% KI 0,082–0,388) waren unabhängig positiv assoziiert mit Selbstmanagement. Gesamtmodell erklärte 37,9% der Varianz.</w:t>
      </w:r>
    </w:p>
    <w:p>
      <w:r>
        <w:rPr>
          <w:b/>
          <w:sz w:val="19"/>
        </w:rPr>
        <w:t xml:space="preserve">Übertragbarkeit: </w:t>
      </w:r>
      <w:r>
        <w:rPr>
          <w:sz w:val="19"/>
        </w:rPr>
        <w:t>China, Mehrfacherkrankung im Kontext chronischer Virushepatitis, Versorgungsprinzipien für andere Länder adaptierbar.</w:t>
      </w:r>
    </w:p>
    <w:p>
      <w:r>
        <w:rPr>
          <w:color w:val="5A7D3A"/>
          <w:sz w:val="18"/>
        </w:rPr>
        <w:t>https://pubmed.ncbi.nlm.nih.gov/42908953/</w:t>
      </w:r>
    </w:p>
    <w:p>
      <w:pPr>
        <w:pStyle w:val="Heading2"/>
      </w:pPr>
      <w:r>
        <w:t>Frühe Dreifachtherapie bei COPD reduzierte Exazerbationen stärker als späte Eskalation</w:t>
      </w:r>
    </w:p>
    <w:p>
      <w:r>
        <w:rPr>
          <w:i/>
          <w:color w:val="666666"/>
          <w:sz w:val="18"/>
        </w:rPr>
        <w:t>Rogliani P et al.  ·  Respir Med  ·  05.10.2026  ·  PMID 42833477</w:t>
      </w:r>
    </w:p>
    <w:p>
      <w:r>
        <w:t>Pooled-Analyse von sechs Real-World-Studien zur Frage, ob frühe versus späte Eskalation zur Tripletherapie bei COPD-Patienten unterschiedliche Ergebnisse bringt.</w:t>
      </w:r>
    </w:p>
    <w:p>
      <w:r>
        <w:rPr>
          <w:b/>
        </w:rPr>
        <w:t xml:space="preserve">Ergebnis: </w:t>
      </w:r>
      <w:r>
        <w:t>Frühe Eskalation (≤48 Monate nach Diagnose) führte zu größeren Reduktionen der mittleren Exazerbationen pro Jahr und höheren Raten von Erkrankungsstabilität und -kontrolle bei 12 Monaten im Vergleich zu späterer Eskalation; der Unterschied war bei 3 und 6 Monaten nicht signifikant.</w:t>
      </w:r>
    </w:p>
    <w:p>
      <w:r>
        <w:rPr>
          <w:b/>
          <w:sz w:val="19"/>
        </w:rPr>
        <w:t xml:space="preserve">Übertragbarkeit: </w:t>
      </w:r>
      <w:r>
        <w:rPr>
          <w:sz w:val="19"/>
        </w:rPr>
        <w:t>Südeuropa und Belgien, Real-World-Daten, vergleichbare ambulante Versorgungsstrukturen.</w:t>
      </w:r>
    </w:p>
    <w:p>
      <w:r>
        <w:rPr>
          <w:color w:val="5A7D3A"/>
          <w:sz w:val="18"/>
        </w:rPr>
        <w:t>https://pubmed.ncbi.nlm.nih.gov/42833477/</w:t>
      </w:r>
    </w:p>
    <w:p>
      <w:pPr>
        <w:pStyle w:val="Heading2"/>
      </w:pPr>
      <w:r>
        <w:t>Mehrfacherkrankung erhöht Sarkopenie-Risiko um 85 Prozent bei Frauen und 102 Prozent bei Männern</w:t>
      </w:r>
    </w:p>
    <w:p>
      <w:r>
        <w:rPr>
          <w:i/>
          <w:color w:val="666666"/>
          <w:sz w:val="18"/>
        </w:rPr>
        <w:t>Guerrero-Wyss MT et al.  ·  Exp Gerontol  ·  20.09.2026  ·  PMID 42764080</w:t>
      </w:r>
    </w:p>
    <w:p>
      <w:r>
        <w:t>Prospektive Kohortenstudie mit 47.417 UK-Biobank-Teilnehmern ohne Sarkopenie zu Zusammenhang zwischen Mehrfacherkrankung und neu aufgetretener Sarkopenie.</w:t>
      </w:r>
    </w:p>
    <w:p>
      <w:r>
        <w:rPr>
          <w:b/>
        </w:rPr>
        <w:t xml:space="preserve">Ergebnis: </w:t>
      </w:r>
      <w:r>
        <w:t>Während 11,5 Jahren Follow-up entwickelten 1.065 Teilnehmer Sarkopenie. Mehrfacherkrankung war mit höherem Sarkopenie-Risiko assoziiert (HR 1,85 bei Frauen, 95% KI 1,52–2,24; HR 2,02 bei Männern 95% KI 1,57–2,60). Standardisiertes 10-Jahres-Risiko stieg von 1,73% auf 3,15% bei Frauen und von 0,88% auf 1,76% bei Männern.</w:t>
      </w:r>
    </w:p>
    <w:p>
      <w:r>
        <w:rPr>
          <w:b/>
          <w:sz w:val="19"/>
        </w:rPr>
        <w:t xml:space="preserve">Übertragbarkeit: </w:t>
      </w:r>
      <w:r>
        <w:rPr>
          <w:sz w:val="19"/>
        </w:rPr>
        <w:t>Großbritannien, vergleichbare Primärversorgung, gute Datenqualität.</w:t>
      </w:r>
    </w:p>
    <w:p>
      <w:r>
        <w:rPr>
          <w:color w:val="5A7D3A"/>
          <w:sz w:val="18"/>
        </w:rPr>
        <w:t>https://pubmed.ncbi.nlm.nih.gov/42764080/</w:t>
      </w:r>
    </w:p>
    <w:p>
      <w:pPr>
        <w:pStyle w:val="Heading2"/>
      </w:pPr>
      <w:r>
        <w:t>Rauchen bei chronischen Atemwegserkrankungen erhöht Sterblichkeit um 34–70 Prozent</w:t>
      </w:r>
    </w:p>
    <w:p>
      <w:r>
        <w:rPr>
          <w:i/>
          <w:color w:val="666666"/>
          <w:sz w:val="18"/>
        </w:rPr>
        <w:t>Fernández-Fernández S et al.  ·  Respir Med  ·  07.09.2026  ·  PMID 42705490</w:t>
      </w:r>
    </w:p>
    <w:p>
      <w:r>
        <w:t>Prospektive Bevölkerungsstudie in Spanien mit 65.990 Personen ab 15 Jahren zu Faktoren für fortgesetztes Rauchen bei Asthma oder COPD und dessen Auswirkungen auf die Mortalität.</w:t>
      </w:r>
    </w:p>
    <w:p>
      <w:r>
        <w:rPr>
          <w:b/>
        </w:rPr>
        <w:t xml:space="preserve">Ergebnis: </w:t>
      </w:r>
      <w:r>
        <w:t>Prävalenz des aktuellen Rauchens 21,3% bei Asthma und 21,8% bei COPD. Fortgesetztes Rauchen war mit höherer Sterblichkeit assoziiert (RR 1,70 bei Asthma, 95% KI 1,16–2,51; RR 1,34 bei COPD 95% KI 1,07–1,67). Jüngere, weniger gebildete und bewegungslose Personen rauchten eher weiter.</w:t>
      </w:r>
    </w:p>
    <w:p>
      <w:r>
        <w:rPr>
          <w:b/>
          <w:sz w:val="19"/>
        </w:rPr>
        <w:t xml:space="preserve">Übertragbarkeit: </w:t>
      </w:r>
      <w:r>
        <w:rPr>
          <w:sz w:val="19"/>
        </w:rPr>
        <w:t>Spanien, nationale Gesundheitserhebungen 2011–2017, deutsches Präventionssystem vergleichbar.</w:t>
      </w:r>
    </w:p>
    <w:p>
      <w:r>
        <w:rPr>
          <w:color w:val="5A7D3A"/>
          <w:sz w:val="18"/>
        </w:rPr>
        <w:t>https://pubmed.ncbi.nlm.nih.gov/42705490/</w:t>
      </w:r>
    </w:p>
    <w:p>
      <w:pPr>
        <w:pStyle w:val="Heading1"/>
      </w:pPr>
      <w:r>
        <w:t>Aufgenommen am 23.10.2026</w:t>
      </w:r>
    </w:p>
    <w:p>
      <w:pPr>
        <w:pStyle w:val="Heading2"/>
      </w:pPr>
      <w:r>
        <w:t>Blut-Eosinophile prognostizieren ICU-Aufnahme bei AECOPD nicht besser als GOLD-Stadium</w:t>
      </w:r>
    </w:p>
    <w:p>
      <w:r>
        <w:rPr>
          <w:i/>
          <w:color w:val="666666"/>
          <w:sz w:val="18"/>
        </w:rPr>
        <w:t>Ozden Sertcelik U et al.  ·  BMC Pulm Med  ·  11.09.2026  ·  PMID 42907946</w:t>
      </w:r>
    </w:p>
    <w:p>
      <w:r>
        <w:t>Retrospektive Kohortenstudie mit 385 Patienten ≥40 Jahren, hospitalisiert mit AECOPD 2020–2024, untersuchte Vorhersagekraft der Blut-Eosinophilen-Zahl (&lt;150, 150–299, ≥300 Zellen/µL) für ICU-Aufnahme nach Competing-Risks-Analyse.</w:t>
      </w:r>
    </w:p>
    <w:p>
      <w:r>
        <w:rPr>
          <w:b/>
        </w:rPr>
        <w:t xml:space="preserve">Ergebnis: </w:t>
      </w:r>
      <w:r>
        <w:t>Eosinophilen-Gruppen waren nicht signifikant mit ICU-Aufnahme assoziiert. GOLD-Stadium E war der stärkste unabhängige Prädiktor (adjustierte Subdistributions-Hazard-Ratio 3,35; 95%-KI 1,57–7,15; p=0,002 vs. GOLD A). Eosinophilen-Level zeigten nach Adjustierung für Schweregrad und konkurrierende Risiken keine unabhängige Assoziation.</w:t>
      </w:r>
    </w:p>
    <w:p>
      <w:r>
        <w:rPr>
          <w:b/>
          <w:sz w:val="19"/>
        </w:rPr>
        <w:t xml:space="preserve">Übertragbarkeit: </w:t>
      </w:r>
      <w:r>
        <w:rPr>
          <w:sz w:val="19"/>
        </w:rPr>
        <w:t>Türkei, aber universelle pathophysiologische Fragestellung unabhängig von System</w:t>
      </w:r>
    </w:p>
    <w:p>
      <w:r>
        <w:rPr>
          <w:color w:val="5A7D3A"/>
          <w:sz w:val="18"/>
        </w:rPr>
        <w:t>https://pubmed.ncbi.nlm.nih.gov/42907946/</w:t>
      </w:r>
    </w:p>
    <w:p>
      <w:pPr>
        <w:pStyle w:val="Heading2"/>
      </w:pPr>
      <w:r>
        <w:t>Prädiabetes erhöht CKD-Risiko um 53 %: Glomeruläre Filtrationsrate sinkt um 2,85 mL/min/1,73m²</w:t>
      </w:r>
    </w:p>
    <w:p>
      <w:r>
        <w:rPr>
          <w:i/>
          <w:color w:val="666666"/>
          <w:sz w:val="18"/>
        </w:rPr>
        <w:t>Karimi R et al.  ·  BMC Nephrol  ·  25.07.2026  ·  PMID 42907738</w:t>
      </w:r>
    </w:p>
    <w:p>
      <w:r>
        <w:t>Systematischer Review und Meta-Analyse von 26 Studien (15 Kohorten, 11 Querschnitt; n=350.546 Normoglykämiker, n=146.547 Prädiabetiker) zur Assoziation von Prädiabetes mit chronischer Nierenkrankheit, eGFR und Albumin-Kreatinin-Ratio.</w:t>
      </w:r>
    </w:p>
    <w:p>
      <w:r>
        <w:rPr>
          <w:b/>
        </w:rPr>
        <w:t xml:space="preserve">Ergebnis: </w:t>
      </w:r>
      <w:r>
        <w:t>Prädiabetes assoziiert mit erhöhtem CKD-Risiko (RR 1,53; 95%-KI 1,30–1,81; p&lt;0,001; stärker bei Verwendung aller drei diagnostischen Kriterien: RR 1,21–2,73). Mittlere eGFR-Abnahme −2,85 mL/min/1,73m² (95%-KI −4,57 bis −1,13; p=0,001). Albumin-Kreatinin-Ratio stieg um 0,87 g/g (95%-KI 0,19–1,55; p=0,012). Stärkere Assoziationen in Asien als in Europa oder USA.</w:t>
      </w:r>
    </w:p>
    <w:p>
      <w:r>
        <w:rPr>
          <w:b/>
          <w:sz w:val="19"/>
        </w:rPr>
        <w:t xml:space="preserve">Übertragbarkeit: </w:t>
      </w:r>
      <w:r>
        <w:rPr>
          <w:sz w:val="19"/>
        </w:rPr>
        <w:t>Multikontinental, aber systematische Evidenz zu Risikostratifizierung unabhängig von System</w:t>
      </w:r>
    </w:p>
    <w:p>
      <w:r>
        <w:rPr>
          <w:color w:val="5A7D3A"/>
          <w:sz w:val="18"/>
        </w:rPr>
        <w:t>https://pubmed.ncbi.nlm.nih.gov/42907738/</w:t>
      </w:r>
    </w:p>
    <w:p>
      <w:pPr>
        <w:pStyle w:val="Heading2"/>
      </w:pPr>
      <w:r>
        <w:t>Fragmentierte Versorgung chronisch kranker Kinder in Deutschland: Koordinationsmängel über Sektoren hinweg</w:t>
      </w:r>
    </w:p>
    <w:p>
      <w:r>
        <w:rPr>
          <w:i/>
          <w:color w:val="666666"/>
          <w:sz w:val="18"/>
        </w:rPr>
        <w:t>Herr CJ et al.  ·  Eur J Pediatr  ·  22.10.2026  ·  PMID 42907562</w:t>
      </w:r>
    </w:p>
    <w:p>
      <w:r>
        <w:t>Qualitative Studie mit 22 Fachleuten (Ärzte, Therapeuten, Sozialarbeiter) aus Deutschland untersuchte, wie Professionelle die Versorgungspfade von Kindern mit chronischen Erkrankungen (ADHS, Autismus, Zerebralparese, Asthma, Typ-1-Diabetes) über Gesundheit, Soziales und Schulwesen hinweg erleben.</w:t>
      </w:r>
    </w:p>
    <w:p>
      <w:r>
        <w:rPr>
          <w:b/>
        </w:rPr>
        <w:t xml:space="preserve">Ergebnis: </w:t>
      </w:r>
      <w:r>
        <w:t>Fachleute bewerteten die Versorgung als fragmentiert, schwer navigierbar und schlecht koordiniert. Zentrale Barrieren: lange Wartezeiten, unklare Versorgungspfade, mangelnde interprofessionelle Kommunikation. Familien mit sozioökonomischen Nachteilen oder Sprachbarrieren hatten besondere Schwierigkeiten.</w:t>
      </w:r>
    </w:p>
    <w:p>
      <w:r>
        <w:rPr>
          <w:b/>
          <w:sz w:val="19"/>
        </w:rPr>
        <w:t xml:space="preserve">Übertragbarkeit: </w:t>
      </w:r>
      <w:r>
        <w:rPr>
          <w:sz w:val="19"/>
        </w:rPr>
        <w:t>Deutschland, direkt erhobene Expertenperspektiven aus Praxen und Jugendamt</w:t>
      </w:r>
    </w:p>
    <w:p>
      <w:r>
        <w:rPr>
          <w:color w:val="5A7D3A"/>
          <w:sz w:val="18"/>
        </w:rPr>
        <w:t>https://pubmed.ncbi.nlm.nih.gov/42907562/</w:t>
      </w:r>
    </w:p>
    <w:p>
      <w:pPr>
        <w:pStyle w:val="Heading2"/>
      </w:pPr>
      <w:r>
        <w:t>HFNC plus Akupunktur verbessert COPD-Exazerbationen: 88,8 % vs. 70,8 % Ansprechrate</w:t>
      </w:r>
    </w:p>
    <w:p>
      <w:r>
        <w:rPr>
          <w:i/>
          <w:color w:val="666666"/>
          <w:sz w:val="18"/>
        </w:rPr>
        <w:t>Li B et al.  ·  Int J Chron Obstruct Pulmon Dis  ·  16.10.2026  ·  PMID 42904141</w:t>
      </w:r>
    </w:p>
    <w:p>
      <w:r>
        <w:t>Retrospektive Studie verglich bei 178 hospitalisierten AECOPD-Patienten die Hochfluss-Nasenkanüle (HFNC) allein gegen HFNC plus standardisierte Akupunktur; Propensity-Score-Matching adjustierte für Baseline-Unterschiede.</w:t>
      </w:r>
    </w:p>
    <w:p>
      <w:r>
        <w:rPr>
          <w:b/>
        </w:rPr>
        <w:t xml:space="preserve">Ergebnis: </w:t>
      </w:r>
      <w:r>
        <w:t>HFNC + Akupunktur erreichte höhere klinische Ansprechrate (88,76 % vs. 70,79 %, relatives Risiko 1,25; 95%-KI 1,08–1,46; p=0,003). Kombinationsgruppe zeigte bessere FEV₁-Zunahme (+0,07 L), PaO₂-Anstieg (+5,03 mmHg), stärkere Reduktion von IL-8, IL-17, TNF-α, CRP (p&lt;0,01) und verbesserte Patienten-Outcomes (CAT -2,59; 6MWD +28,53 m).</w:t>
      </w:r>
    </w:p>
    <w:p>
      <w:r>
        <w:rPr>
          <w:b/>
          <w:sz w:val="19"/>
        </w:rPr>
        <w:t xml:space="preserve">Übertragbarkeit: </w:t>
      </w:r>
      <w:r>
        <w:rPr>
          <w:sz w:val="19"/>
        </w:rPr>
        <w:t>China, retrospektive Daten; Validierung in prospektivem RCT erforderlich</w:t>
      </w:r>
    </w:p>
    <w:p>
      <w:r>
        <w:rPr>
          <w:color w:val="5A7D3A"/>
          <w:sz w:val="18"/>
        </w:rPr>
        <w:t>https://pubmed.ncbi.nlm.nih.gov/42904141/</w:t>
      </w:r>
    </w:p>
    <w:p>
      <w:pPr>
        <w:pStyle w:val="Heading2"/>
      </w:pPr>
      <w:r>
        <w:t>Erdosteine verbessert Ventilationshomogenität bei COPD stärker als NAC</w:t>
      </w:r>
    </w:p>
    <w:p>
      <w:r>
        <w:rPr>
          <w:i/>
          <w:color w:val="666666"/>
          <w:sz w:val="18"/>
        </w:rPr>
        <w:t>Dal Negro RW et al.  ·  Int J Chron Obstruct Pulmon Dis  ·  16.10.2026  ·  PMID 42904140</w:t>
      </w:r>
    </w:p>
    <w:p>
      <w:r>
        <w:t>Retrospektive Studie an 127 stabilen Patienten mit milder bis moderater COPD unter LABA/LAMA-Therapie verglich Zusatz von Erdostein (600 mg/d) oder N-Acetylcystein (600 mg/d) gegen Dual-Bronchodilatation allein mittels Volumetrischer Kapnografie (VCap).</w:t>
      </w:r>
    </w:p>
    <w:p>
      <w:r>
        <w:rPr>
          <w:b/>
        </w:rPr>
        <w:t xml:space="preserve">Ergebnis: </w:t>
      </w:r>
      <w:r>
        <w:t>Erdostein führte zu signifikanten Verbesserungen: TPTEF/TEX +56,5 %, alveoläre Ventilation +8,9 %, S2/S3-Winkel −10,4°, VD/VT-Ratio −13,5 %. NAC zeigte vernachlässigbare und nicht von Mono-Therapie unterschiedliche Effekte (alle p&gt;0,05). Unterschiede zugunsten Erdostein blieben nach Adjustierung für Confunder signifikant (p&lt;0,001).</w:t>
      </w:r>
    </w:p>
    <w:p>
      <w:r>
        <w:rPr>
          <w:b/>
          <w:sz w:val="19"/>
        </w:rPr>
        <w:t xml:space="preserve">Übertragbarkeit: </w:t>
      </w:r>
      <w:r>
        <w:rPr>
          <w:sz w:val="19"/>
        </w:rPr>
        <w:t>Italien, kontrollierte Beobachtungsdaten; Physiologie-Verbesserung, nicht Langzeitprognose</w:t>
      </w:r>
    </w:p>
    <w:p>
      <w:r>
        <w:rPr>
          <w:color w:val="5A7D3A"/>
          <w:sz w:val="18"/>
        </w:rPr>
        <w:t>https://pubmed.ncbi.nlm.nih.gov/42904140/</w:t>
      </w:r>
    </w:p>
    <w:p>
      <w:pPr>
        <w:pStyle w:val="Heading2"/>
      </w:pPr>
      <w:r>
        <w:t>Fünf Schlaf-Phänotypen bei COPD: Hypoxische Schläfer haben 2,8-fach erhöhtes Mortalitätsrisiko</w:t>
      </w:r>
    </w:p>
    <w:p>
      <w:r>
        <w:rPr>
          <w:i/>
          <w:color w:val="666666"/>
          <w:sz w:val="18"/>
        </w:rPr>
        <w:t>Hansson D et al.  ·  Int J Chron Obstruct Pulmon Dis  ·  16.10.2026  ·  PMID 42903829</w:t>
      </w:r>
    </w:p>
    <w:p>
      <w:r>
        <w:t>Prospektive Kohorte mit 205 COPD-Patienten; multidimensionale Schlaf-Daten (WatchPAT™) mit 15 Variablen analysiert mittels Partitioning-Around-Medoids-Clustering; Median-Nachverfolgung 4,2 Jahre mit 199 Patienten.</w:t>
      </w:r>
    </w:p>
    <w:p>
      <w:r>
        <w:rPr>
          <w:b/>
        </w:rPr>
        <w:t xml:space="preserve">Ergebnis: </w:t>
      </w:r>
      <w:r>
        <w:t>Fünf distinkte Schlaf-Phänotypen identifiziert: normale Schläfer (20,5 %), Short-Sleeper (33 %), Light-Sleeper mit REM-Suppression (18,5 %), hypoxische Schläfer (20 %), schlafapnoe-Schläfer (8 %). Bei 56 Todesfällen (28,1 %) hatten hypoxische Schläfer nach Adjustierung für Alter, Geschlecht und FEV₁ erhöhte Sterblichkeit (HR 2,80; 95%-KI 1,05–7,44); unbehandelte apnoe-Schläfer noch höher (HR 6,16; 95%-KI 1,56–24,38) nach PAP-Adjustierung.</w:t>
      </w:r>
    </w:p>
    <w:p>
      <w:r>
        <w:rPr>
          <w:b/>
          <w:sz w:val="19"/>
        </w:rPr>
        <w:t xml:space="preserve">Übertragbarkeit: </w:t>
      </w:r>
      <w:r>
        <w:rPr>
          <w:sz w:val="19"/>
        </w:rPr>
        <w:t>Schweden, europäischer Versorgungskontext, vergleichbar strukturierter Zugang</w:t>
      </w:r>
    </w:p>
    <w:p>
      <w:r>
        <w:rPr>
          <w:color w:val="5A7D3A"/>
          <w:sz w:val="18"/>
        </w:rPr>
        <w:t>https://pubmed.ncbi.nlm.nih.gov/42903829/</w:t>
      </w:r>
    </w:p>
    <w:p>
      <w:pPr>
        <w:pStyle w:val="Heading1"/>
      </w:pPr>
      <w:r>
        <w:t>Aufgenommen am 22.10.2026</w:t>
      </w:r>
    </w:p>
    <w:p>
      <w:pPr>
        <w:pStyle w:val="Heading2"/>
      </w:pPr>
      <w:r>
        <w:t>Sensorische Beeinträchtigung und Einsamkeit erhöhen Mehrfacherkrankung um Faktor 1,56–2,36</w:t>
      </w:r>
    </w:p>
    <w:p>
      <w:r>
        <w:rPr>
          <w:i/>
          <w:color w:val="666666"/>
          <w:sz w:val="18"/>
        </w:rPr>
        <w:t>Pan Y et al.  ·  Int J Equity Health  ·  24.07.2026  ·  PMID 42902280</w:t>
      </w:r>
    </w:p>
    <w:p>
      <w:r>
        <w:t>Querschnittliche Analyse von 15.022 Älteren in China, USA und England zur Assoziation von Hör- und Sehstörungen mit dem Auftreten von körperlich-psychisch-kognitiven Mehrfacherkrankungen über 6–8 Jahre Nachbeobachtung.</w:t>
      </w:r>
    </w:p>
    <w:p>
      <w:r>
        <w:rPr>
          <w:b/>
        </w:rPr>
        <w:t xml:space="preserve">Ergebnis: </w:t>
      </w:r>
      <w:r>
        <w:t>Duale Sinnesbeeinträchtigung war unabhängig mit physisch-psychischer Mehrfacherkrankung (HR 2,18), psychisch-kognitiver (HR 2,36) und dreifacher Komorbidität (HR 1,56; 95%-KI 1,19–2,03) assoziiert. Einsamkeit erklärte etwa 10–12 % dieser Assoziation. Die Assoziation blieb in Sensitivitätsanalysen und länderübergreifend stabil.</w:t>
      </w:r>
    </w:p>
    <w:p>
      <w:r>
        <w:rPr>
          <w:b/>
          <w:sz w:val="19"/>
        </w:rPr>
        <w:t xml:space="preserve">Übertragbarkeit: </w:t>
      </w:r>
      <w:r>
        <w:rPr>
          <w:sz w:val="19"/>
        </w:rPr>
        <w:t>Internationale Vergleichskohorte; Übertragbarkeit hängt von Struktur der Altenhilfe ab.</w:t>
      </w:r>
    </w:p>
    <w:p>
      <w:r>
        <w:rPr>
          <w:color w:val="5A7D3A"/>
          <w:sz w:val="18"/>
        </w:rPr>
        <w:t>https://pubmed.ncbi.nlm.nih.gov/42902280/</w:t>
      </w:r>
    </w:p>
    <w:p>
      <w:pPr>
        <w:pStyle w:val="Heading2"/>
      </w:pPr>
      <w:r>
        <w:t>Therapeutische Kontinuität verbessert Diabetesmanagement nicht ohne koordinierte Versorgung</w:t>
      </w:r>
    </w:p>
    <w:p>
      <w:r>
        <w:rPr>
          <w:i/>
          <w:color w:val="666666"/>
          <w:sz w:val="18"/>
        </w:rPr>
        <w:t>Poarch E et al.  ·  BMC Prim Care  ·  24.07.2026  ·  PMID 42902172</w:t>
      </w:r>
    </w:p>
    <w:p>
      <w:r>
        <w:t>Bevölkerungsbasierte Kohortenstudie von 2020–2023 in British Columbia mit über 84.000 Patienten mit Diabetes und/oder Hypertonie zur Frage, ob die Kontinuität der Arzt-Patienten-Beziehung zu empfohlenen Managementprozessen führt.</w:t>
      </w:r>
    </w:p>
    <w:p>
      <w:r>
        <w:rPr>
          <w:b/>
        </w:rPr>
        <w:t xml:space="preserve">Ergebnis: </w:t>
      </w:r>
      <w:r>
        <w:t>Vollständige relationale Kontinuität war nicht mit erhöhtem empfohlenem Management assoziiert (adjustierte RR 1,00; 95%-KI 0,99–1,01). Bei Patienten mit komplexem Bedarf (schwere psychische Erkrankung, Suchterkrankung) zeigten sich inverse Assoziationen (SMI + ≥12 Besuche aRR 0,64 [0,52–0,80]). Dies deutet darauf hin, dass reine Beziehungskontinuität ohne Management- und Informationskontinuität nicht ausreicht.</w:t>
      </w:r>
    </w:p>
    <w:p>
      <w:r>
        <w:rPr>
          <w:b/>
          <w:sz w:val="19"/>
        </w:rPr>
        <w:t xml:space="preserve">Übertragbarkeit: </w:t>
      </w:r>
      <w:r>
        <w:rPr>
          <w:sz w:val="19"/>
        </w:rPr>
        <w:t>Kanada/British Columbia; ähnliches primärärztliches System, aber ohne DMP-ähnliche Strukturen.</w:t>
      </w:r>
    </w:p>
    <w:p>
      <w:r>
        <w:rPr>
          <w:color w:val="5A7D3A"/>
          <w:sz w:val="18"/>
        </w:rPr>
        <w:t>https://pubmed.ncbi.nlm.nih.gov/42902172/</w:t>
      </w:r>
    </w:p>
    <w:p>
      <w:pPr>
        <w:pStyle w:val="Heading2"/>
      </w:pPr>
      <w:r>
        <w:t>Multimorbidität bei älteren Sturzhospitalisierungen: vier Phänotypen mit steuerbaren Risikofaktoren</w:t>
      </w:r>
    </w:p>
    <w:p>
      <w:r>
        <w:rPr>
          <w:i/>
          <w:color w:val="666666"/>
          <w:sz w:val="18"/>
        </w:rPr>
        <w:t>Wang X et al.  ·  BMC Geriatr  ·  22.07.2026  ·  PMID 42897528</w:t>
      </w:r>
    </w:p>
    <w:p>
      <w:r>
        <w:t>Querschnittsanalyse von 705 älteren Stürzen im Krankenhaus (Januar 2015–August 2025) mit latenter Klassenanalyse von 12 chronischen Erkrankungen zur Identifikation von Mehrfacherkrankungs-Clustern und assoziierten Faktoren.</w:t>
      </w:r>
    </w:p>
    <w:p>
      <w:r>
        <w:rPr>
          <w:b/>
        </w:rPr>
        <w:t xml:space="preserve">Ergebnis: </w:t>
      </w:r>
      <w:r>
        <w:t>Vier distinct Multimorbidität-Klassen: Schlaganfall-Gruppe (11,9 %), Krebsgruppe (22,8 %), Multisystem-Multimorbidität (22,4 %), relativ Gesunde (42,8 %). Logistische Regression zeigte signifikante Assoziationen mit Alter, Station, Begleitstatus, Prä-Sturz-Status, Personalerfahrung, Risiko-Assessment-Score und Anzahl sturzrisiko-erhöhender Arzneimittel (alle p&lt;0,05). Krebs war häufigste Einzelerkrankung.</w:t>
      </w:r>
    </w:p>
    <w:p>
      <w:r>
        <w:rPr>
          <w:b/>
          <w:sz w:val="19"/>
        </w:rPr>
        <w:t xml:space="preserve">Übertragbarkeit: </w:t>
      </w:r>
      <w:r>
        <w:rPr>
          <w:sz w:val="19"/>
        </w:rPr>
        <w:t>China (Hangzhou); tertäre Klinik; Struktur ähnlich deutschen Krankenhäusern, aber Adhärenz- und Dokumentationspraxis unterscheidet sich.</w:t>
      </w:r>
    </w:p>
    <w:p>
      <w:r>
        <w:rPr>
          <w:color w:val="5A7D3A"/>
          <w:sz w:val="18"/>
        </w:rPr>
        <w:t>https://pubmed.ncbi.nlm.nih.gov/42897528/</w:t>
      </w:r>
    </w:p>
    <w:p>
      <w:pPr>
        <w:pStyle w:val="Heading2"/>
      </w:pPr>
      <w:r>
        <w:t>GLP-1-Analogon reduziert renale Ereignisse bei Typ-2-Diabetes mit Nierenschaden um 51–67 %</w:t>
      </w:r>
    </w:p>
    <w:p>
      <w:r>
        <w:rPr>
          <w:i/>
          <w:color w:val="666666"/>
          <w:sz w:val="18"/>
        </w:rPr>
        <w:t>Ye J et al.  ·  Signal Transduct Target Ther  ·  20.10.2026  ·  PMID 42897130</w:t>
      </w:r>
    </w:p>
    <w:p>
      <w:r>
        <w:t>Multizentrische retrospektive Kohortenstudie mit 3.305 Patienten in China mit Typ-2-Diabetes, Nierenschädigung und kardiovaskulärem Risiko über median 36,4 Monate zur renoprotektiven Wirkung von Polyethylenglycol-Loxenatid vs. Standardtherapie.</w:t>
      </w:r>
    </w:p>
    <w:p>
      <w:r>
        <w:rPr>
          <w:b/>
        </w:rPr>
        <w:t xml:space="preserve">Ergebnis: </w:t>
      </w:r>
      <w:r>
        <w:t>Polyethylenglycol-Loxenatid war mit reduziertem Risiko für primäre nierenspezifische Ereignisse assoziiert (adjustierte HR 0,49; 95%-KI 0,25–0,95; p=0,035 in Gesamtkohorte; HR 0,44 [0,20–0,97] nach Propensity-Score-Matching). Effekt zeigte sich progressiv über 6-Monats-Landmarks (HR 0,40) bis 12-Monats-Landmarks (HR 0,33). Kardiovaskulärer Effekt war nicht stabil.</w:t>
      </w:r>
    </w:p>
    <w:p>
      <w:r>
        <w:rPr>
          <w:b/>
          <w:sz w:val="19"/>
        </w:rPr>
        <w:t xml:space="preserve">Übertragbarkeit: </w:t>
      </w:r>
      <w:r>
        <w:rPr>
          <w:sz w:val="19"/>
        </w:rPr>
        <w:t>China; Datenextraktion durch KI-gestützte Pipeline, aber Übertragbarkeit begrenzt durch ethnische/pathophysiologische Unterschiede.</w:t>
      </w:r>
    </w:p>
    <w:p>
      <w:r>
        <w:rPr>
          <w:color w:val="5A7D3A"/>
          <w:sz w:val="18"/>
        </w:rPr>
        <w:t>https://pubmed.ncbi.nlm.nih.gov/42897130/</w:t>
      </w:r>
    </w:p>
    <w:p>
      <w:pPr>
        <w:pStyle w:val="Heading2"/>
      </w:pPr>
      <w:r>
        <w:t>Exergame erzielte 67 % maximale Herzfrequenz mit hoher Adhärenzfreude bei stabilen Chronikern</w:t>
      </w:r>
    </w:p>
    <w:p>
      <w:r>
        <w:rPr>
          <w:i/>
          <w:color w:val="666666"/>
          <w:sz w:val="18"/>
        </w:rPr>
        <w:t>Haron MJ et al.  ·  JMIR Form Res  ·  19.10.2026  ·  PMID 42896149</w:t>
      </w:r>
    </w:p>
    <w:p>
      <w:r>
        <w:t>Einarm-Pilot-Experimentalstudie mit 20 Erwachsenen (Durchschnittsalter 54,3 Jahre) mit stabilen chronischen Erkrankungen (70 % Hypertonie, 55 % Hyperlipidämie) zur Untersuchung physiologischer Reaktionen, Trainingsintensität und Spielfreude beim Exergame Ring Fit Adventure.</w:t>
      </w:r>
    </w:p>
    <w:p>
      <w:r>
        <w:rPr>
          <w:b/>
        </w:rPr>
        <w:t xml:space="preserve">Ergebnis: </w:t>
      </w:r>
      <w:r>
        <w:t>Mittlere Herzfrequenz während Spiels 111,6 bpm (67,2 % maximale altersgerechte HF); Spitzenwert 138,6 bpm (83,5 %). HF-Anstieg nach Welt 1: 16,7 bpm (p&lt;0,001), nach Welt 2: 20,7 bpm (p&lt;0,001). Kapillarblutglukose sank um 1,4 mmol/L (Welt 1) und 1,6 mmol/L (Welt 2) ohne Hypoglykämien. Blutdruck stabil. Genussquote 77,6/100. Keine schweren Nebenereignisse.</w:t>
      </w:r>
    </w:p>
    <w:p>
      <w:r>
        <w:rPr>
          <w:b/>
          <w:sz w:val="19"/>
        </w:rPr>
        <w:t xml:space="preserve">Übertragbarkeit: </w:t>
      </w:r>
      <w:r>
        <w:rPr>
          <w:sz w:val="19"/>
        </w:rPr>
        <w:t>Singapur; kleine Stichprobe, keine Kontrollgruppe, aber Machbarkeit für Home-Based-Übungen gezeigt.</w:t>
      </w:r>
    </w:p>
    <w:p>
      <w:r>
        <w:rPr>
          <w:color w:val="5A7D3A"/>
          <w:sz w:val="18"/>
        </w:rPr>
        <w:t>https://pubmed.ncbi.nlm.nih.gov/42896149/</w:t>
      </w:r>
    </w:p>
    <w:p>
      <w:pPr>
        <w:pStyle w:val="Heading2"/>
      </w:pPr>
      <w:r>
        <w:t>Erhöhte Sulfatase-1 im Serum korreliert mit langsamerer Lungenfunktionsabnahme bei COPD</w:t>
      </w:r>
    </w:p>
    <w:p>
      <w:r>
        <w:rPr>
          <w:i/>
          <w:color w:val="666666"/>
          <w:sz w:val="18"/>
        </w:rPr>
        <w:t>Liu Y et al.  ·  Respir Res  ·  22.07.2026  ·  PMID 42894165</w:t>
      </w:r>
    </w:p>
    <w:p>
      <w:r>
        <w:t>Klinische Beobachtungsstudie mit Serum-ELISA und funktionellen Modellen zur Rolle von Sulfatase 1 (SULF1) in der COPD-Progression mit Analyse der Korrelation zu Lungenfunktionsverlauf und In-vivo-Mechanismus.</w:t>
      </w:r>
    </w:p>
    <w:p>
      <w:r>
        <w:rPr>
          <w:b/>
        </w:rPr>
        <w:t xml:space="preserve">Ergebnis: </w:t>
      </w:r>
      <w:r>
        <w:t>Bei COPD-Patienten waren SULF1-Serumspiegel erhöht und zeigten negative Korrelation mit FEV1/FVC-Ratio (p&lt;0,001) und jährlichem FEV1/FVC-Rückgang. In Rauchexpositionsmodellen führte SULF1-Knockout zu ausgeprägteren Emphysemveränderungen; SULF1-Überexpression minderte Lungenalterationen partiell ab. SULF1 band stabil an Keratin 15 (KRT15).</w:t>
      </w:r>
    </w:p>
    <w:p>
      <w:r>
        <w:rPr>
          <w:b/>
          <w:sz w:val="19"/>
        </w:rPr>
        <w:t xml:space="preserve">Übertragbarkeit: </w:t>
      </w:r>
      <w:r>
        <w:rPr>
          <w:sz w:val="19"/>
        </w:rPr>
        <w:t>China (Guangzhou); Mechanismus belegt, aber klinische Validierung und Interventionspfade fehlen.</w:t>
      </w:r>
    </w:p>
    <w:p>
      <w:r>
        <w:rPr>
          <w:color w:val="5A7D3A"/>
          <w:sz w:val="18"/>
        </w:rPr>
        <w:t>https://pubmed.ncbi.nlm.nih.gov/42894165/</w:t>
      </w:r>
    </w:p>
    <w:p>
      <w:pPr>
        <w:pStyle w:val="Heading1"/>
      </w:pPr>
      <w:r>
        <w:t>Aufgenommen am 21.10.2026</w:t>
      </w:r>
    </w:p>
    <w:p>
      <w:pPr>
        <w:pStyle w:val="Heading2"/>
      </w:pPr>
      <w:r>
        <w:t>COPD-Phänotypen nach Entzündungsmuster identifiziert: vier klinisch relevante Subgruppen</w:t>
      </w:r>
    </w:p>
    <w:p>
      <w:r>
        <w:rPr>
          <w:i/>
          <w:color w:val="666666"/>
          <w:sz w:val="18"/>
        </w:rPr>
        <w:t>Wang Q et al.  ·  Int J Chron Obstruct Pulmon Dis  ·  15.10.2026  ·  PMID 42899181</w:t>
      </w:r>
    </w:p>
    <w:p>
      <w:r>
        <w:t>Chinesische Studie an 319 stabilen COPD-Patienten identifizierte vier Phänotypen mittels Clusteranalyse von Zytokinen und Atemwegsverengung und korrelierte diese mit CT-Befunden, klinischen Symptomen und Exazerbationen.</w:t>
      </w:r>
    </w:p>
    <w:p>
      <w:r>
        <w:rPr>
          <w:b/>
        </w:rPr>
        <w:t xml:space="preserve">Ergebnis: </w:t>
      </w:r>
      <w:r>
        <w:t>Cluster 1 (Schwer-niedrige Entzündung): niedrigste Zytokine, höchste Symptomen, schwerste Atemwegsverengung, ausgeprägtestes Emphysem. Cluster 2 (Mild-niedrig): geringe Symptomen, erhaltene Lungenfunktion. Cluster 3 (Moderat-erhöht): mittlere Entzündung und Symptomen. Cluster 4 (Sehr hohe Entzündung): deutlich erhöhte Zytokine, erhaltene Lungenfunktion, aber massive Atemwegsraum-Verdickung und häufige Exazerbationen. Diese Phänotypisierung offenbarte eine Dissoziation zwischen systemischer Entzündung und Krankheitsschweregrad, was individualisierte Therapie ermöglicht.</w:t>
      </w:r>
    </w:p>
    <w:p>
      <w:r>
        <w:rPr>
          <w:b/>
          <w:sz w:val="19"/>
        </w:rPr>
        <w:t xml:space="preserve">Übertragbarkeit: </w:t>
      </w:r>
      <w:r>
        <w:rPr>
          <w:sz w:val="19"/>
        </w:rPr>
        <w:t>China, aber Phänotypisierungskonzept unabhängig von Gesundheitssystem übertragbar</w:t>
      </w:r>
    </w:p>
    <w:p>
      <w:r>
        <w:rPr>
          <w:color w:val="5A7D3A"/>
          <w:sz w:val="18"/>
        </w:rPr>
        <w:t>https://pubmed.ncbi.nlm.nih.gov/42899181/</w:t>
      </w:r>
    </w:p>
    <w:p>
      <w:pPr>
        <w:pStyle w:val="Heading2"/>
      </w:pPr>
      <w:r>
        <w:t>DECAF-Score überlegen: 95,6 % Spezifität für Mortalitätsprognose bei COPD-Exazerbation</w:t>
      </w:r>
    </w:p>
    <w:p>
      <w:r>
        <w:rPr>
          <w:i/>
          <w:color w:val="666666"/>
          <w:sz w:val="18"/>
        </w:rPr>
        <w:t>Gode R et al.  ·  BMC Pulm Med  ·  23.07.2026  ·  PMID 42897561</w:t>
      </w:r>
    </w:p>
    <w:p>
      <w:r>
        <w:t>Türkische Klinikkohorte verglich zwei Prognosescores (HALP und DECAF) bei 499 Patienten mit akuter COPD-Exazerbation zur Vorhersage 30-Tage-Krankenhaussterblichkeit mittels ROC-Analyse und logistischer Regression.</w:t>
      </w:r>
    </w:p>
    <w:p>
      <w:r>
        <w:rPr>
          <w:b/>
        </w:rPr>
        <w:t xml:space="preserve">Ergebnis: </w:t>
      </w:r>
      <w:r>
        <w:t>63 Patienten (12,6 %) starben innerhalb 30 Tage. DECAF-Score zeigte überlegene Diskriminierung (AUC 0,932) gegenüber HALP (AUC 0,724; p&lt;0,001). Bei DECAF ≥4 betrugen Sensitivität 76,2 %, Spezifität 95,6 %, negativer prädiktiver Wert 96,5 %. HALP bot nur begrenzte prognostische Information. DECAF bleibt robuster und klinisch anwendbarer Prädiktor für Kurzzeitergebnisse im Notfalleinsatz.</w:t>
      </w:r>
    </w:p>
    <w:p>
      <w:r>
        <w:rPr>
          <w:b/>
          <w:sz w:val="19"/>
        </w:rPr>
        <w:t xml:space="preserve">Übertragbarkeit: </w:t>
      </w:r>
      <w:r>
        <w:rPr>
          <w:sz w:val="19"/>
        </w:rPr>
        <w:t>Türkische Notfallmedizin, Score international validiert und einsetzbar</w:t>
      </w:r>
    </w:p>
    <w:p>
      <w:r>
        <w:rPr>
          <w:color w:val="5A7D3A"/>
          <w:sz w:val="18"/>
        </w:rPr>
        <w:t>https://pubmed.ncbi.nlm.nih.gov/42897561/</w:t>
      </w:r>
    </w:p>
    <w:p>
      <w:pPr>
        <w:pStyle w:val="Heading2"/>
      </w:pPr>
      <w:r>
        <w:t>Messinstrument für Therapieunsicherheit bei Dialysepatienten validiert</w:t>
      </w:r>
    </w:p>
    <w:p>
      <w:r>
        <w:rPr>
          <w:i/>
          <w:color w:val="666666"/>
          <w:sz w:val="18"/>
        </w:rPr>
        <w:t>Gündoğan R et al.  ·  BMC Nephrol  ·  23.07.2026  ·  PMID 42897558</w:t>
      </w:r>
    </w:p>
    <w:p>
      <w:r>
        <w:t>Türkische Validierungsstudie entwickelte eine reliable und valide Skala (UC-D&amp;TS) zur Messung von Unsicherheit über Erkrankung und Behandlung bei 155 Dialysepatienten, angewendet um den Zusammenhang zwischen Unsicherheit, Adhärenz und psychosozialem Wohlbefinden zu untersuchen.</w:t>
      </w:r>
    </w:p>
    <w:p>
      <w:r>
        <w:rPr>
          <w:b/>
        </w:rPr>
        <w:t xml:space="preserve">Ergebnis: </w:t>
      </w:r>
      <w:r>
        <w:t>Die Skala zeigte hohe interne Konsistenz (Cronbach α = 0,872), eine vier-Faktoren-Struktur, die 59,13 % der Varianz erklärte, und exzellente Test-Retest-Reliabilität (r = 0,986). Messmodell passte akzeptabel (χ²/df = 1,77; CFI = 0,94). Das Instrument ist einsatzreif für klinische Praxis und Forschung zur Rolle von Unsicherheit bei Therapietreue und psychischem Wohlbefinden von Dialysepatienten.</w:t>
      </w:r>
    </w:p>
    <w:p>
      <w:r>
        <w:rPr>
          <w:b/>
          <w:sz w:val="19"/>
        </w:rPr>
        <w:t xml:space="preserve">Übertragbarkeit: </w:t>
      </w:r>
      <w:r>
        <w:rPr>
          <w:sz w:val="19"/>
        </w:rPr>
        <w:t>Validierungsstudie an türkischer Population; Instrument für internationale Verwendung adaptierbar</w:t>
      </w:r>
    </w:p>
    <w:p>
      <w:r>
        <w:rPr>
          <w:color w:val="5A7D3A"/>
          <w:sz w:val="18"/>
        </w:rPr>
        <w:t>https://pubmed.ncbi.nlm.nih.gov/42897558/</w:t>
      </w:r>
    </w:p>
    <w:p>
      <w:pPr>
        <w:pStyle w:val="Heading2"/>
      </w:pPr>
      <w:r>
        <w:t>Südafrika: Hypertonie und Diabetes verdoppelt – Mehrfacherkrankung bei älteren Frauen am höchsten</w:t>
      </w:r>
    </w:p>
    <w:p>
      <w:r>
        <w:rPr>
          <w:i/>
          <w:color w:val="666666"/>
          <w:sz w:val="18"/>
        </w:rPr>
        <w:t>Chironda CT et al.  ·  BMC Public Health  ·  23.07.2026  ·  PMID 42897543</w:t>
      </w:r>
    </w:p>
    <w:p>
      <w:r>
        <w:t>Südafrikanische Verbal-Autopsy-Studie an 5.892 Verstorbenen analysierte Trends chronischer Erkrankungen und Multimorbidität-Cluster über 11 Jahre mittels Clusteranalyse und latenter Klassenanalyse, um epidemiologischen Wandel in ländlicher Region zu dokumentieren.</w:t>
      </w:r>
    </w:p>
    <w:p>
      <w:r>
        <w:rPr>
          <w:b/>
        </w:rPr>
        <w:t xml:space="preserve">Ergebnis: </w:t>
      </w:r>
      <w:r>
        <w:t>Hypertonie stieg von 25 % (2012) auf über 50 % (2022), Diabetes von 10 % auf 25 %. Tuberkulose fiel von 23 % auf 11 %, HIV-Prävalenz schwankte um 20 %. Multimorbidität (≥2 Erkrankungen) wuchs, Komplexmultimorbidität (≥3) verdoppelte sich von 8 % (2012) auf 15 % (2019). Cluster verschwanden progressiv vom HIV/TB-Muster zu kardio-metabolischen Mustern (Hypertonie-Diabetes). Ältere Erwachsene (≥65 Jahre) und Frauen trugen höchste Multimorbidität-Last. Dies zeigt: ländliche Bevölkerung unterliegt Epidemiologischem Übergang; Versorgung muss Nichtübertragbare Krankheiten priorisieren und Mehrfacherkrankungen adressieren.</w:t>
      </w:r>
    </w:p>
    <w:p>
      <w:r>
        <w:rPr>
          <w:b/>
          <w:sz w:val="19"/>
        </w:rPr>
        <w:t xml:space="preserve">Übertragbarkeit: </w:t>
      </w:r>
      <w:r>
        <w:rPr>
          <w:sz w:val="19"/>
        </w:rPr>
        <w:t>Südafrika, ländliches Setting; epidemiologischer Wandel global relevant, Gesundheitssysteme unterschiedlich</w:t>
      </w:r>
    </w:p>
    <w:p>
      <w:r>
        <w:rPr>
          <w:color w:val="5A7D3A"/>
          <w:sz w:val="18"/>
        </w:rPr>
        <w:t>https://pubmed.ncbi.nlm.nih.gov/42897543/</w:t>
      </w:r>
    </w:p>
    <w:p>
      <w:pPr>
        <w:pStyle w:val="Heading2"/>
      </w:pPr>
      <w:r>
        <w:t>Nierentransplantation senkt Kosten dramatisch: Krankenhauskosten 82 % niedriger als bei Dialyse</w:t>
      </w:r>
    </w:p>
    <w:p>
      <w:r>
        <w:rPr>
          <w:i/>
          <w:color w:val="666666"/>
          <w:sz w:val="18"/>
        </w:rPr>
        <w:t>Santamaria R et al.  ·  BMC Nephrol  ·  22.07.2026  ·  PMID 42897541</w:t>
      </w:r>
    </w:p>
    <w:p>
      <w:r>
        <w:t>Spanische Kohortenstudie verglich Gesundheitskosten und Krankenhausnutzung bei 588 Patienten mit Dialyse oder Nierentransplantation über zwei Jahre, gemessen an Hospitalisierungen, schwerwiegenden kardiovaskulären Ereignissen und Mortalität.</w:t>
      </w:r>
    </w:p>
    <w:p>
      <w:r>
        <w:rPr>
          <w:b/>
        </w:rPr>
        <w:t xml:space="preserve">Ergebnis: </w:t>
      </w:r>
      <w:r>
        <w:t>Durchschnittliche Jahreskosten für Dialysepatienten betrugen 25.410 €, für Transplantierte 4.473 €. Bei Dialysepatienten waren schwerwiegende kardiovaskuläre Ereignisse 3,2-mal häufiger (276,3 vs. 85,9 pro 1000 Patientenjahre), Hospitalisierungsrate 1,3-mal höher (245,7 vs. 183,0 pro 1000), Sterblichkeit 7,1-mal höher (253,8 vs. 35,6). Hospitalisierungen verursachten 72,4 % der Dialysekosten, bei Transplantation nur 39,8 %. Die Ergebnisse bestätigen Transplantation als kosteneffektivste Therapie chronischer Nierenfunktionsstörung.</w:t>
      </w:r>
    </w:p>
    <w:p>
      <w:r>
        <w:rPr>
          <w:b/>
          <w:sz w:val="19"/>
        </w:rPr>
        <w:t xml:space="preserve">Übertragbarkeit: </w:t>
      </w:r>
      <w:r>
        <w:rPr>
          <w:sz w:val="19"/>
        </w:rPr>
        <w:t>Spanisches Gesundheitssystem, vergleichbar mit deutschem Versicherungsmodell</w:t>
      </w:r>
    </w:p>
    <w:p>
      <w:r>
        <w:rPr>
          <w:color w:val="5A7D3A"/>
          <w:sz w:val="18"/>
        </w:rPr>
        <w:t>https://pubmed.ncbi.nlm.nih.gov/42897541/</w:t>
      </w:r>
    </w:p>
    <w:p>
      <w:pPr>
        <w:pStyle w:val="Heading2"/>
      </w:pPr>
      <w:r>
        <w:t>Schlafmangel erhöht Multimorbidität-Risiko um 375 %: Studie an postmenopausalen Frauen</w:t>
      </w:r>
    </w:p>
    <w:p>
      <w:r>
        <w:rPr>
          <w:i/>
          <w:color w:val="666666"/>
          <w:sz w:val="18"/>
        </w:rPr>
        <w:t>Xu J et al.  ·  BMC Public Health  ·  24.07.2026  ·  PMID 42897539</w:t>
      </w:r>
    </w:p>
    <w:p>
      <w:r>
        <w:t>Chinesische Längsschnittstudie an 2.859 postmenopausalen Frauen aus der CHARLS-Kohorte identifizierte Schlafmuster (Group-Based Trajectory Modeling) und untersuchte deren Assoziation mit kardio-renal-metabolischer Mehrfacherkrankung (kardiovaskulär, Niere, Stoffwechsel) über mittlere zwei Jahre Nachbeobachtung.</w:t>
      </w:r>
    </w:p>
    <w:p>
      <w:r>
        <w:rPr>
          <w:b/>
        </w:rPr>
        <w:t xml:space="preserve">Ergebnis: </w:t>
      </w:r>
      <w:r>
        <w:t>Drei Schlafmuster wurden identifiziert: normal-stabil (33,9 %), normal-fluktuierend abnehmend (52,0 %), kurz-rapide abnehmend (14,1 %). Während Nachbeobachtung entwickelten 108 Frauen (3,8 %) Multimorbidität. Gegenüber normal-stabil-Gruppe: normal-fluktuierend-abnehmend erhöhte Multimorbidität-Risiko um 130 % (OR 2,30; 95%KI 1,35–3,91), kurz-rapide-abnehmend um 275 % (OR 3,75; 95%KI 1,99–7,07). Effekte blieben in Subgruppen- und Sensitivitätsanalysen stabil. Stable ausreichende Schlafdauer ist protektiver Faktor gegen Multimorbidität.</w:t>
      </w:r>
    </w:p>
    <w:p>
      <w:r>
        <w:rPr>
          <w:b/>
          <w:sz w:val="19"/>
        </w:rPr>
        <w:t xml:space="preserve">Übertragbarkeit: </w:t>
      </w:r>
      <w:r>
        <w:rPr>
          <w:sz w:val="19"/>
        </w:rPr>
        <w:t>China; Phänomen biologisch universal, präventiventiver Ansatz systemunabhängig</w:t>
      </w:r>
    </w:p>
    <w:p>
      <w:r>
        <w:rPr>
          <w:color w:val="5A7D3A"/>
          <w:sz w:val="18"/>
        </w:rPr>
        <w:t>https://pubmed.ncbi.nlm.nih.gov/42897539/</w:t>
      </w:r>
    </w:p>
    <w:p>
      <w:pPr>
        <w:pStyle w:val="Heading1"/>
      </w:pPr>
      <w:r>
        <w:t>Aufgenommen am 20.10.2026</w:t>
      </w:r>
    </w:p>
    <w:p>
      <w:pPr>
        <w:pStyle w:val="Heading2"/>
      </w:pPr>
      <w:r>
        <w:t>Atherogenic-Frailty-Index sagt kardio-metabole Mehrfacherkrankung voraus: kumulative Last und Trajektorien</w:t>
      </w:r>
    </w:p>
    <w:p>
      <w:r>
        <w:rPr>
          <w:i/>
          <w:color w:val="666666"/>
          <w:sz w:val="18"/>
        </w:rPr>
        <w:t>Wu H et al.  ·  J Glob Health  ·  19.10.2026  ·  PMID 42895260</w:t>
      </w:r>
    </w:p>
    <w:p>
      <w:r>
        <w:t>Prospektive nationale chinesische Kohortenstudie (CHARLS) an 4.157 Erwachsenen ≥45 Jahren ohne baseline-Mehrfacherkrankung zur Assoziation von kumulativer Exposition und Longitudinal-Trajektorien eines kombinierten atherogenic-frailty-Index (AIP-FI) mit neu auftretender kardio-metaboler Mehrfacherkrankung.</w:t>
      </w:r>
    </w:p>
    <w:p>
      <w:r>
        <w:rPr>
          <w:b/>
        </w:rPr>
        <w:t xml:space="preserve">Ergebnis: </w:t>
      </w:r>
      <w:r>
        <w:t>Über 8,5 Jahre Nachverfolgung traten 612 neue Mehrfacherkrankungs-Fälle auf. Höherer baseline und kumulativer AIP-FI waren signifikant mit erhöhtem Mehrfacherkrankungs-Risiko assoziiert; kumulativer Effekt war stärker (adjustierte HR pro SD: 1,46; 95%-KI 1,38–1,54). Höchstes Quartil vs. niedrigstes: HR 3,95 (95%-KI 2,95–5,29). Hoch-stabile AIP-FI-Gruppen zeigten höchstes Risiko. AIP-FI hatte überlegene Vorhersageleistung (AUC 71,17%) mit verbesserter Reklassifikation (NRI 0,157).</w:t>
      </w:r>
    </w:p>
    <w:p>
      <w:r>
        <w:rPr>
          <w:b/>
          <w:sz w:val="19"/>
        </w:rPr>
        <w:t xml:space="preserve">Übertragbarkeit: </w:t>
      </w:r>
      <w:r>
        <w:rPr>
          <w:sz w:val="19"/>
        </w:rPr>
        <w:t>China, nationales Register, aber Mehrfacherkrankungs-Konzept und Biomarker-Ansatz europäisch relevant</w:t>
      </w:r>
    </w:p>
    <w:p>
      <w:r>
        <w:rPr>
          <w:color w:val="5A7D3A"/>
          <w:sz w:val="18"/>
        </w:rPr>
        <w:t>https://pubmed.ncbi.nlm.nih.gov/42895260/</w:t>
      </w:r>
    </w:p>
    <w:p>
      <w:pPr>
        <w:pStyle w:val="Heading2"/>
      </w:pPr>
      <w:r>
        <w:t>CKD als Kardio-Nieren-Stoffwechsel-Kontinuum: neue Phänotypen für Risikostratifikation</w:t>
      </w:r>
    </w:p>
    <w:p>
      <w:r>
        <w:rPr>
          <w:i/>
          <w:color w:val="666666"/>
          <w:sz w:val="18"/>
        </w:rPr>
        <w:t>Valtuille RA et al.  ·  Panminerva Med  ·  Sept. 2026  ·  PMID 42895046</w:t>
      </w:r>
    </w:p>
    <w:p>
      <w:r>
        <w:t>Narrative Übersichtsarbeit zu CKD als systemische Erkrankung mit mehreren Filtrationphänotypen, Entzündung und kardiovaskulärer Vulnerabilität; Integration von Nierenbiomarkern in Risikoprädiktion.</w:t>
      </w:r>
    </w:p>
    <w:p>
      <w:r>
        <w:rPr>
          <w:b/>
        </w:rPr>
        <w:t xml:space="preserve">Ergebnis: </w:t>
      </w:r>
      <w:r>
        <w:t>Neuartige Filtrationphänotypen (Kreatinin-Cystatin-C-basierte eGFR-Kategorien) verbessern klassisches Staging. Simulation an 5.000 virtuellen Patienten zeigt nicht-lineare, synergetische Effekte von eGFR, Albuminurie, Alter, Hypertonie, Diabetes und Lipidstörungen auf kardiovaskuläres Risiko. SGLT2-Inhibitoren, Finerenon und GLP-1-Agonisten bieten Multisystemvorteile.</w:t>
      </w:r>
    </w:p>
    <w:p>
      <w:r>
        <w:rPr>
          <w:b/>
          <w:sz w:val="19"/>
        </w:rPr>
        <w:t xml:space="preserve">Übertragbarkeit: </w:t>
      </w:r>
      <w:r>
        <w:rPr>
          <w:sz w:val="19"/>
        </w:rPr>
        <w:t>Europäische Fachliteratur, kontinuum-basierter Ansatz übertragbar auf deutsches DMP-System</w:t>
      </w:r>
    </w:p>
    <w:p>
      <w:r>
        <w:rPr>
          <w:color w:val="5A7D3A"/>
          <w:sz w:val="18"/>
        </w:rPr>
        <w:t>https://pubmed.ncbi.nlm.nih.gov/42895046/</w:t>
      </w:r>
    </w:p>
    <w:p>
      <w:pPr>
        <w:pStyle w:val="Heading2"/>
      </w:pPr>
      <w:r>
        <w:t>Osteoporose bei COPD: Erkenntnislücke zwischen Wissen und klinischer Praxis</w:t>
      </w:r>
    </w:p>
    <w:p>
      <w:r>
        <w:rPr>
          <w:i/>
          <w:color w:val="666666"/>
          <w:sz w:val="18"/>
        </w:rPr>
        <w:t>Siraj RA et al.  ·  Int J Chron Obstruct Pulmon Dis  ·  14.10.2026  ·  PMID 42894800</w:t>
      </w:r>
    </w:p>
    <w:p>
      <w:r>
        <w:t>Nationale Cross-sectional-Befragung von 977 saudi-arabischen Fachleuten (Hausärzte, Pneumologen, Intensivmediziner) zu Wahrnehmung, Selbstsicherheit und Routinetätigkeit bei Osteoporoserisiko-Assessment bei COPD-Patienten.</w:t>
      </w:r>
    </w:p>
    <w:p>
      <w:r>
        <w:rPr>
          <w:b/>
        </w:rPr>
        <w:t xml:space="preserve">Ergebnis: </w:t>
      </w:r>
      <w:r>
        <w:t>61% berichteten routinemäßiges Osteoporose-Risiko-Screening, aber Umsetzung war inkonsistent; Hauptbarrieren waren Priorisierung respiratorischer Symptome (58,9%), fehlende Klinik-Protokolle (55,1%), begrenzte Konsultationszeit (51,1%) und limitierter Ressourcenzugang (51,1%). Pulmonologen (aOR 1,53), höhere Patientenzahl (10–30 monatlich; aOR 1,70), formale Ausbildung (aOR 1,45) und Selbsteinschätzung (aOR 1,71) waren unabhängig assoziiert mit routinemäßigem Assessment.</w:t>
      </w:r>
    </w:p>
    <w:p>
      <w:r>
        <w:rPr>
          <w:b/>
          <w:sz w:val="19"/>
        </w:rPr>
        <w:t xml:space="preserve">Übertragbarkeit: </w:t>
      </w:r>
      <w:r>
        <w:rPr>
          <w:sz w:val="19"/>
        </w:rPr>
        <w:t>Saudi-Arabien, aber Barrieren-Struktur und Interventionsmöglichkeiten auf deutsches Mehrfacherkrankungs-Screening übertragbar</w:t>
      </w:r>
    </w:p>
    <w:p>
      <w:r>
        <w:rPr>
          <w:color w:val="5A7D3A"/>
          <w:sz w:val="18"/>
        </w:rPr>
        <w:t>https://pubmed.ncbi.nlm.nih.gov/42894800/</w:t>
      </w:r>
    </w:p>
    <w:p>
      <w:pPr>
        <w:pStyle w:val="Heading2"/>
      </w:pPr>
      <w:r>
        <w:t>Neutrophil-Lymphozyten-Ratio bei COPD: Assoziation mit beschleunigtem Lungenfunktionsverlust</w:t>
      </w:r>
    </w:p>
    <w:p>
      <w:r>
        <w:rPr>
          <w:i/>
          <w:color w:val="666666"/>
          <w:sz w:val="18"/>
        </w:rPr>
        <w:t>Xue H et al.  ·  Int J Chron Obstruct Pulmon Dis  ·  14.10.2026  ·  PMID 42894652</w:t>
      </w:r>
    </w:p>
    <w:p>
      <w:r>
        <w:t>Retrospektive Einzelzentrum-Kohortenstudie mit wiederholter Spirometrie zur Assoziation zwischen Ausgangswert des Neutrophil-Lymphozyten-Quotienten (NLR) und jährlicher FEV1-Veränderung bei klinisch stabiler COPD.</w:t>
      </w:r>
    </w:p>
    <w:p>
      <w:r>
        <w:rPr>
          <w:b/>
        </w:rPr>
        <w:t xml:space="preserve">Ergebnis: </w:t>
      </w:r>
      <w:r>
        <w:t>Bei 640 Patienten (2.525 Beobachtungen, Median 22 Monate) war höherer baseline-NLR (pro Verdopplung) nach Schweregrad-Anpassung mit zusätzlichem FEV1-Rückgang von 8,26 mL/Jahr verbunden (95%-KI 2,29–14,23; p=0,0068). Assoziation war modellabhängig und etablierte weder Kausalität noch individuellen Vorhersagewert.</w:t>
      </w:r>
    </w:p>
    <w:p>
      <w:r>
        <w:rPr>
          <w:b/>
          <w:sz w:val="19"/>
        </w:rPr>
        <w:t xml:space="preserve">Übertragbarkeit: </w:t>
      </w:r>
      <w:r>
        <w:rPr>
          <w:sz w:val="19"/>
        </w:rPr>
        <w:t>China (Einzelzentrum), retrograd strukturiert; Entzündungsmarker-Ansatz auf deutsches COPD-Monitoring übertragbar</w:t>
      </w:r>
    </w:p>
    <w:p>
      <w:r>
        <w:rPr>
          <w:color w:val="5A7D3A"/>
          <w:sz w:val="18"/>
        </w:rPr>
        <w:t>https://pubmed.ncbi.nlm.nih.gov/42894652/</w:t>
      </w:r>
    </w:p>
    <w:p>
      <w:pPr>
        <w:pStyle w:val="Heading2"/>
      </w:pPr>
      <w:r>
        <w:t>Asthma-COPD-Überlappung: erhöhte Exazerbationsrate bei Mehrfacherkrankung</w:t>
      </w:r>
    </w:p>
    <w:p>
      <w:r>
        <w:rPr>
          <w:i/>
          <w:color w:val="666666"/>
          <w:sz w:val="18"/>
        </w:rPr>
        <w:t>Athlin Å et al.  ·  Scand J Prim Health Care  ·  18.10.2026  ·  PMID 42894311</w:t>
      </w:r>
    </w:p>
    <w:p>
      <w:r>
        <w:t>Schwedische Kohortenstudie mit Patienten aus Primär- und Sekundärversorgung zur Häufigkeit und Auswirkung von Asthma-COPD-Überlappung auf Exazerbationen, Symptombelastung und Mortalität.</w:t>
      </w:r>
    </w:p>
    <w:p>
      <w:r>
        <w:rPr>
          <w:b/>
        </w:rPr>
        <w:t xml:space="preserve">Ergebnis: </w:t>
      </w:r>
      <w:r>
        <w:t>22% (2005) bzw. 9% (2014) der COPD-Patienten hatten komorbides Asthma; diese zeigten erhöhtes Exazerbationsrisiko (OR 1,58–2,20, p≤0,02), ohne signifikante Unterschiede in der Symptombelastung. Mortalität war nur in der 2014-Kohorte niedriger (HR 0,67, p=0,02). Reduktion der Asthma-COPD-Überlappung deutet auf verbesserte Diagnostik hin.</w:t>
      </w:r>
    </w:p>
    <w:p>
      <w:r>
        <w:rPr>
          <w:b/>
          <w:sz w:val="19"/>
        </w:rPr>
        <w:t xml:space="preserve">Übertragbarkeit: </w:t>
      </w:r>
      <w:r>
        <w:rPr>
          <w:sz w:val="19"/>
        </w:rPr>
        <w:t>Schweden, ambulante/stationäre Struktur vergleichbar mit Deutschland, 17 Jahre Verlauf</w:t>
      </w:r>
    </w:p>
    <w:p>
      <w:r>
        <w:rPr>
          <w:color w:val="5A7D3A"/>
          <w:sz w:val="18"/>
        </w:rPr>
        <w:t>https://pubmed.ncbi.nlm.nih.gov/42894311/</w:t>
      </w:r>
    </w:p>
    <w:p>
      <w:pPr>
        <w:pStyle w:val="Heading2"/>
      </w:pPr>
      <w:r>
        <w:t>CRP-Triglyzerid-Glukose-Index sagt kardio-metabole Mehrfacherkrankung postmenopausaler Frauen voraus</w:t>
      </w:r>
    </w:p>
    <w:p>
      <w:r>
        <w:rPr>
          <w:i/>
          <w:color w:val="666666"/>
          <w:sz w:val="18"/>
        </w:rPr>
        <w:t>Wang L et al.  ·  BMC Cardiovasc Disord  ·  22.07.2026  ·  PMID 42894124</w:t>
      </w:r>
    </w:p>
    <w:p>
      <w:r>
        <w:t>Prospektive nationale chinesische Kohortenstudie an 2.972 postmenopausalen Frauen (≥45 Jahre) ohne baseline-Mehrfacherkrankung (Median-Nachverfolgung 103,5 Monate) zur Assoziation eines kombinierten Entzündungs-Stoffwechsel-Index (CTI) mit neu auftretender kardio-metaboler Mehrfacherkrankung.</w:t>
      </w:r>
    </w:p>
    <w:p>
      <w:r>
        <w:rPr>
          <w:b/>
        </w:rPr>
        <w:t xml:space="preserve">Ergebnis: </w:t>
      </w:r>
      <w:r>
        <w:t>395 Teilnehmer (13,3%) entwickelten neue Mehrfacherkrankung. Jede 1-Punkt-CTI-Erhöhung: Risiko +95% (HR 1,95; 95%-KI 1,66–2,30). Höchstes vs. niedrigstes Quartil: HR 3,91 (95%-KI 2,62–5,82, p-Trend &lt;0,001). CTI-AUC 0,649 überlegen gegenüber TyG (0,616), CRP (0,612) und TG (0,582). Nomogramm (6 LASSO-Variablen) zeigte akzeptable Diskrimination (AUC Training 0,742, Validierung 0,703).</w:t>
      </w:r>
    </w:p>
    <w:p>
      <w:r>
        <w:rPr>
          <w:b/>
          <w:sz w:val="19"/>
        </w:rPr>
        <w:t xml:space="preserve">Übertragbarkeit: </w:t>
      </w:r>
      <w:r>
        <w:rPr>
          <w:sz w:val="19"/>
        </w:rPr>
        <w:t>China, nationales Langzeit-Panel, Entzündungs-Metabolit-Profil für deutsches Präventivscreening adaptierbar</w:t>
      </w:r>
    </w:p>
    <w:p>
      <w:r>
        <w:rPr>
          <w:color w:val="5A7D3A"/>
          <w:sz w:val="18"/>
        </w:rPr>
        <w:t>https://pubmed.ncbi.nlm.nih.gov/42894124/</w:t>
      </w:r>
    </w:p>
    <w:p>
      <w:pPr>
        <w:pStyle w:val="Heading1"/>
      </w:pPr>
      <w:r>
        <w:t>Aufgenommen am 19.10.2026</w:t>
      </w:r>
    </w:p>
    <w:p>
      <w:pPr>
        <w:pStyle w:val="Heading2"/>
      </w:pPr>
      <w:r>
        <w:t>Hämoglobin-Zielbereich 105-125 g/L erhöhte Sterblichkeit bei Hämodialysepatienten nicht</w:t>
      </w:r>
    </w:p>
    <w:p>
      <w:r>
        <w:rPr>
          <w:i/>
          <w:color w:val="666666"/>
          <w:sz w:val="18"/>
        </w:rPr>
        <w:t>Birnie K et al.  ·  Pharmacoepidemiol Drug Saf  ·  Nov. 2026  ·  PMID 42893801</w:t>
      </w:r>
    </w:p>
    <w:p>
      <w:r>
        <w:t>Elektronische Patientendaten aus 10 englischen Nierenzentren (2004-2016) verglichen mittels Target-Trial-Emulation verschiedene Hämoglobin-Zielwerte unter standardisierter Darbepoetindosierung.</w:t>
      </w:r>
    </w:p>
    <w:p>
      <w:r>
        <w:rPr>
          <w:b/>
        </w:rPr>
        <w:t xml:space="preserve">Ergebnis: </w:t>
      </w:r>
      <w:r>
        <w:t>Bei 8.628 Patienten (Medianalter 66 Jahre) zeigten sich für 105-125 g/L vs. 95-115 g/L Hazard Ratio 0,92 (95% KI 0,75-1,12), für &gt;125 g/L vs. 95-115 g/L HR 1,20 (95% KI 0,94-1,54). Ein moderat erhöhtes Ziel war nicht mit erhöhter Mortalität assoziiert, während Werte über 125 g/L das Mortalitätsrisiko möglicherweise steigern.</w:t>
      </w:r>
    </w:p>
    <w:p>
      <w:r>
        <w:rPr>
          <w:b/>
          <w:sz w:val="19"/>
        </w:rPr>
        <w:t xml:space="preserve">Übertragbarkeit: </w:t>
      </w:r>
      <w:r>
        <w:rPr>
          <w:sz w:val="19"/>
        </w:rPr>
        <w:t>UK-Nierenzentren mit vollständiger elektronischer Dokumentation, übertragbar auf Deutschland.</w:t>
      </w:r>
    </w:p>
    <w:p>
      <w:r>
        <w:rPr>
          <w:color w:val="5A7D3A"/>
          <w:sz w:val="18"/>
        </w:rPr>
        <w:t>https://pubmed.ncbi.nlm.nih.gov/42893801/</w:t>
      </w:r>
    </w:p>
    <w:p>
      <w:pPr>
        <w:pStyle w:val="Heading2"/>
      </w:pPr>
      <w:r>
        <w:t>COPD-Last in Asien stieg 2009-2023 um 41 Prozent trotz sinkender altersstandardisierter Raten</w:t>
      </w:r>
    </w:p>
    <w:p>
      <w:r>
        <w:rPr>
          <w:i/>
          <w:color w:val="666666"/>
          <w:sz w:val="18"/>
        </w:rPr>
        <w:t>Luo Q et al.  ·  Int J Chron Obstruct Pulmon Dis  ·  13.10.2026  ·  PMID 42893247</w:t>
      </w:r>
    </w:p>
    <w:p>
      <w:r>
        <w:t>Global Burden of Disease 2023 Analyse für 48 asiatische Länder (2009-2023) quantifizierte Inzidenz, Prävalenz, Todesfälle und DALYs mit Fokus auf demografische Treiber und Ungleichheit nach Sozio-demografischem Index.</w:t>
      </w:r>
    </w:p>
    <w:p>
      <w:r>
        <w:rPr>
          <w:b/>
        </w:rPr>
        <w:t xml:space="preserve">Ergebnis: </w:t>
      </w:r>
      <w:r>
        <w:t>Inzidenzfälle stiegen von 7,74 auf 10,75 Millionen (+38,9%), Prävalenz von 91,88 auf 129,76 Millionen (+41,2%), Todesfälle von 2,11 auf 2,63 Millionen (+24,8%). Altersstandardisierte Raten sanken jedoch in 34-43 der 48 Standorte. Von 522.061 zusätzlichen Todesfällen waren 345.084 auf Bevölkerungswachstum und 933.776 auf Alterung zurückzuführen. Sozioökonomische Konzentration der Todesfalllasten verschärfte sich (SII -69,90 auf -87,22).</w:t>
      </w:r>
    </w:p>
    <w:p>
      <w:r>
        <w:rPr>
          <w:b/>
          <w:sz w:val="19"/>
        </w:rPr>
        <w:t xml:space="preserve">Übertragbarkeit: </w:t>
      </w:r>
      <w:r>
        <w:rPr>
          <w:sz w:val="19"/>
        </w:rPr>
        <w:t>Asien, zeigt versorgungspolitischen Handlungsbedarf durch demografische Lasten unabhängig von Epidemiologie-Verbesserungen.</w:t>
      </w:r>
    </w:p>
    <w:p>
      <w:r>
        <w:rPr>
          <w:color w:val="5A7D3A"/>
          <w:sz w:val="18"/>
        </w:rPr>
        <w:t>https://pubmed.ncbi.nlm.nih.gov/42893247/</w:t>
      </w:r>
    </w:p>
    <w:p>
      <w:pPr>
        <w:pStyle w:val="Heading2"/>
      </w:pPr>
      <w:r>
        <w:t>Niedriges gewichtsadjustiertes Muskelvolumen fördert COPD-Exazerbationen bei niedrigem BMI</w:t>
      </w:r>
    </w:p>
    <w:p>
      <w:r>
        <w:rPr>
          <w:i/>
          <w:color w:val="666666"/>
          <w:sz w:val="18"/>
        </w:rPr>
        <w:t>Zhang Y et al.  ·  Int J Chron Obstruct Pulmon Dis  ·  13.10.2026  ·  PMID 42893075</w:t>
      </w:r>
    </w:p>
    <w:p>
      <w:r>
        <w:t>Querschnittstudie mit 419 COPD-Patienten untersuchte Assoziation zwischen Körperzusammensetzung (traditionell versus gewichtsadjustiert) und häufigen Exazerbationen (≥2 moderat oder ≥1 schwer im Vorjahr).</w:t>
      </w:r>
    </w:p>
    <w:p>
      <w:r>
        <w:rPr>
          <w:b/>
        </w:rPr>
        <w:t xml:space="preserve">Ergebnis: </w:t>
      </w:r>
      <w:r>
        <w:t>Niedriges ASM/BMI war mit häufigen Exazerbationen assoziiert (bereinigtes OR 1,74; 95% KI 1,07-2,87), besonders stark bei BMI &lt;24 kg/m² (aOR 5,66; 95% KI 2,22-17,66). Traditionelle Höhenindizes zeigten keine signifikante Assoziation (aOR 1,52; 95% KI 0,96-2,41).</w:t>
      </w:r>
    </w:p>
    <w:p>
      <w:r>
        <w:rPr>
          <w:b/>
          <w:sz w:val="19"/>
        </w:rPr>
        <w:t xml:space="preserve">Übertragbarkeit: </w:t>
      </w:r>
      <w:r>
        <w:rPr>
          <w:sz w:val="19"/>
        </w:rPr>
        <w:t>China, relevant für Versorgungspraxis: Muskelabbau als therapeutischer Angriffspunkt.</w:t>
      </w:r>
    </w:p>
    <w:p>
      <w:r>
        <w:rPr>
          <w:color w:val="5A7D3A"/>
          <w:sz w:val="18"/>
        </w:rPr>
        <w:t>https://pubmed.ncbi.nlm.nih.gov/42893075/</w:t>
      </w:r>
    </w:p>
    <w:p>
      <w:pPr>
        <w:pStyle w:val="Heading2"/>
      </w:pPr>
      <w:r>
        <w:t>Sehbehinderung reduziert Medikamentenadhärenz bei älteren Chronikern um bis zu 85 Prozent</w:t>
      </w:r>
    </w:p>
    <w:p>
      <w:r>
        <w:rPr>
          <w:i/>
          <w:color w:val="666666"/>
          <w:sz w:val="18"/>
        </w:rPr>
        <w:t>Shen Q et al.  ·  Med Sci Monit  ·  18.10.2026  ·  PMID 42892708</w:t>
      </w:r>
    </w:p>
    <w:p>
      <w:r>
        <w:t>Querschnittsstudie mit 100 Patienten &gt;60 Jahren an geriatrischer Klinik untersuchte Assoziation zwischen Grad der Sehbehinderung und Medikamentenadhärenz bei chronischen Erkrankungen mittels MMAS-8 Skala.</w:t>
      </w:r>
    </w:p>
    <w:p>
      <w:r>
        <w:rPr>
          <w:b/>
        </w:rPr>
        <w:t xml:space="preserve">Ergebnis: </w:t>
      </w:r>
      <w:r>
        <w:t>MMAS-8 Scores sanken von 7,32 (Normalsicht) auf 4,29 bei schwerer Sehbehinderung. Niedrige Adhärenz stieg von 3,7% (normal) auf 45,0% (mild), 71,4% (moderat) und 88,9% (schwer). Bereinigte Odds Ratios: milde Behinderung OR 3,45 (95% KI 1,18-10,13), moderate OR 8,72 (95% KI 2,94-25,83), schwere OR 16,45 (95% KI 4,21-64,23) versus Normalsicht.</w:t>
      </w:r>
    </w:p>
    <w:p>
      <w:r>
        <w:rPr>
          <w:b/>
          <w:sz w:val="19"/>
        </w:rPr>
        <w:t xml:space="preserve">Übertragbarkeit: </w:t>
      </w:r>
      <w:r>
        <w:rPr>
          <w:sz w:val="19"/>
        </w:rPr>
        <w:t>China, patientenschutzrelevant: Sehbehinderung als unerkanntes Adhärenzrisiko in der Praxis.</w:t>
      </w:r>
    </w:p>
    <w:p>
      <w:r>
        <w:rPr>
          <w:color w:val="5A7D3A"/>
          <w:sz w:val="18"/>
        </w:rPr>
        <w:t>https://pubmed.ncbi.nlm.nih.gov/42892708/</w:t>
      </w:r>
    </w:p>
    <w:p>
      <w:pPr>
        <w:pStyle w:val="Heading2"/>
      </w:pPr>
      <w:r>
        <w:t>CFTR-I556V-Variant erhöht COPD-Risiko um 96 Prozent nach Adjustierung</w:t>
      </w:r>
    </w:p>
    <w:p>
      <w:r>
        <w:rPr>
          <w:i/>
          <w:color w:val="666666"/>
          <w:sz w:val="18"/>
        </w:rPr>
        <w:t>Xu H et al.  ·  Int J Chron Obstruct Pulmon Dis  ·  11.10.2026  ·  PMID 42889849</w:t>
      </w:r>
    </w:p>
    <w:p>
      <w:r>
        <w:t>Klinische und experimentelle Studie mit 208 COPD-Patienten und 100 Kontrollen identifizierte CFTR-Genvarianten und untersuchte Auswirkungen der I556V-Variante auf ROS und Mitochondrienfunktion sowie Lungenparameter nach Zigarettenrauch in transgenen Mäusen.</w:t>
      </w:r>
    </w:p>
    <w:p>
      <w:r>
        <w:rPr>
          <w:b/>
        </w:rPr>
        <w:t xml:space="preserve">Ergebnis: </w:t>
      </w:r>
      <w:r>
        <w:t>I556V-Variante zeigte signifikante COPD-Assoziation (P=0,045), mit 2,12-fach erhöhtem Risiko (OR 2,12; 95% KI 1,16-3,86), nach Adjustierung für Alter, Geschlecht und Rauchen OR 1,96 (95% KI 1,01-3,81, +96%). In Mäusen führte I556V zu 23,03% erhöhter Atemwegswanddicke und 48,40% erhöhter Kollagenablagerung nach CS-Exposition mit exazerbierter Inflammation.</w:t>
      </w:r>
    </w:p>
    <w:p>
      <w:r>
        <w:rPr>
          <w:b/>
          <w:sz w:val="19"/>
        </w:rPr>
        <w:t xml:space="preserve">Übertragbarkeit: </w:t>
      </w:r>
      <w:r>
        <w:rPr>
          <w:sz w:val="19"/>
        </w:rPr>
        <w:t>China, Grundlage für genetische Stratifizierung und präventive Interventionen in Hochrisikopopulationen.</w:t>
      </w:r>
    </w:p>
    <w:p>
      <w:r>
        <w:rPr>
          <w:color w:val="5A7D3A"/>
          <w:sz w:val="18"/>
        </w:rPr>
        <w:t>https://pubmed.ncbi.nlm.nih.gov/42889849/</w:t>
      </w:r>
    </w:p>
    <w:p>
      <w:pPr>
        <w:pStyle w:val="Heading2"/>
      </w:pPr>
      <w:r>
        <w:t>Nilotinib senkt neurodegenerative Erkrankungen bei CML-Patienten um 63 Prozent</w:t>
      </w:r>
    </w:p>
    <w:p>
      <w:r>
        <w:rPr>
          <w:i/>
          <w:color w:val="666666"/>
          <w:sz w:val="18"/>
        </w:rPr>
        <w:t>Wittström F et al.  ·  Alzheimers Dement  ·  Okt. 2026  ·  PMID 42860391</w:t>
      </w:r>
    </w:p>
    <w:p>
      <w:r>
        <w:t>Schwedische populationsbasierte Kohortenstudie (2005-2024) verglich Inzidenz neurodegenerativer Erkrankungen bei 1.322 CML-Patienten unter verschiedenen Tyrosinkinasehemmern versus gematcht gesunde Vergleicher.</w:t>
      </w:r>
    </w:p>
    <w:p>
      <w:r>
        <w:rPr>
          <w:b/>
        </w:rPr>
        <w:t xml:space="preserve">Ergebnis: </w:t>
      </w:r>
      <w:r>
        <w:t>Bei 1.188 Imatinib-Nutzern (41 neurodegenerative Events) HR 0,98 (95% KI 0,71-1,36), bei 541 Dasatinib-Nutzern (15 Events) HR 1,18 (95% KI 0,68-2,03), bei 390 Nilotinib-Nutzern (5 Events) HR 0,37 (95% KI 0,15-0,90). Nur Nilotinib zeigte statistisch signifikante Assoziation mit reduzierter neurodegenerativer Erkrankung.</w:t>
      </w:r>
    </w:p>
    <w:p>
      <w:r>
        <w:rPr>
          <w:b/>
          <w:sz w:val="19"/>
        </w:rPr>
        <w:t xml:space="preserve">Übertragbarkeit: </w:t>
      </w:r>
      <w:r>
        <w:rPr>
          <w:sz w:val="19"/>
        </w:rPr>
        <w:t>Skandinavische Kohortendaten mit Universalversicherung, begrenzte Übertragbarkeit wegen Selektionseffekte bei Wirkstoffwahl.</w:t>
      </w:r>
    </w:p>
    <w:p>
      <w:r>
        <w:rPr>
          <w:color w:val="5A7D3A"/>
          <w:sz w:val="18"/>
        </w:rPr>
        <w:t>https://pubmed.ncbi.nlm.nih.gov/42860391/</w:t>
      </w:r>
    </w:p>
    <w:p>
      <w:pPr>
        <w:pStyle w:val="Heading1"/>
      </w:pPr>
      <w:r>
        <w:t>Aufgenommen am 18.10.2026</w:t>
      </w:r>
    </w:p>
    <w:p>
      <w:pPr>
        <w:pStyle w:val="Heading2"/>
      </w:pPr>
      <w:r>
        <w:t>COPD mit erhöhtem Pulsdruck verdoppelt Herzinfarktrisiko in Alter</w:t>
      </w:r>
    </w:p>
    <w:p>
      <w:r>
        <w:rPr>
          <w:i/>
          <w:color w:val="666666"/>
          <w:sz w:val="18"/>
        </w:rPr>
        <w:t>Liu G et al.  ·  Int J Chron Obstruct Pulmon Dis  ·  12.10.2026  ·  PMID 42891288</w:t>
      </w:r>
    </w:p>
    <w:p>
      <w:r>
        <w:t>Prospektive Kohortenstudie an 4183 älteren Chinesen (≥60 Jahre) mit 7-Jahres-Nachverfolgung zum Risiko kardiovaskulärer Ereignisse bei Mehrfacherkrankung (COPD und vaskuläres Altern).</w:t>
      </w:r>
    </w:p>
    <w:p>
      <w:r>
        <w:rPr>
          <w:b/>
        </w:rPr>
        <w:t xml:space="preserve">Ergebnis: </w:t>
      </w:r>
      <w:r>
        <w:t>COPD allein (HR 1,15, 95%-KI 0,84–1,57) und erhöhter Pulsdruck allein (HR 0,93, 95%-KI 0,70–1,25) waren nicht mit kardiovaskulären Ereignissen assoziiert. Beide zusammen zeigten HR 1,86 (95%-KI 1,26–2,76), primär getrieben durch Herzerkrankungen (HR 2,80, 95%-KI 1,94–4,05), nicht Schlaganfälle (HR 0,84, 95%-KI 0,43–1,65). Für Mortalität: HR 2,05 (95%-KI 1,54–2,73) bei beiden Expositionen vs. weder Exposition.</w:t>
      </w:r>
    </w:p>
    <w:p>
      <w:r>
        <w:rPr>
          <w:b/>
          <w:sz w:val="19"/>
        </w:rPr>
        <w:t xml:space="preserve">Übertragbarkeit: </w:t>
      </w:r>
      <w:r>
        <w:rPr>
          <w:sz w:val="19"/>
        </w:rPr>
        <w:t>China, Bevölkerungsstichprobe; Mehrfacherkrankung zentral, strukturelle Vergleichbarkeit begrenzt</w:t>
      </w:r>
    </w:p>
    <w:p>
      <w:r>
        <w:rPr>
          <w:color w:val="5A7D3A"/>
          <w:sz w:val="18"/>
        </w:rPr>
        <w:t>https://pubmed.ncbi.nlm.nih.gov/42891288/</w:t>
      </w:r>
    </w:p>
    <w:p>
      <w:pPr>
        <w:pStyle w:val="Heading2"/>
      </w:pPr>
      <w:r>
        <w:t>COPD-assoziierte Herzinsuffizienz stieg weltweit um 40%, Projektion bis 2050 weiter aufwärts</w:t>
      </w:r>
    </w:p>
    <w:p>
      <w:r>
        <w:rPr>
          <w:i/>
          <w:color w:val="666666"/>
          <w:sz w:val="18"/>
        </w:rPr>
        <w:t>Liu C et al.  ·  Int J Chron Obstruct Pulmon Dis  ·  12.10.2026  ·  PMID 42891260</w:t>
      </w:r>
    </w:p>
    <w:p>
      <w:r>
        <w:t>Systematische Analyse der Global Burden of Disease Study 2021 zu Prävalenz und Krankheitslast von COPD-assoziierter Herzinsuffizienz 1990–2021 mit Bayes'scher Projektion bis 2050 nach Geschlecht, Alter, Region und SDI-Kategorie.</w:t>
      </w:r>
    </w:p>
    <w:p>
      <w:r>
        <w:rPr>
          <w:b/>
        </w:rPr>
        <w:t xml:space="preserve">Ergebnis: </w:t>
      </w:r>
      <w:r>
        <w:t>2021: 3,61 Mio. Fälle COPD-assoziierte Herzinsuffizienz (1,4-facher Anstieg seit 1990). Altersstandarisierte Prävalenzrate und Years Lived with Disability stiegen insgesamt. Absolute Fälle stiegen in beiden Geschlechtern; altersstandarisierte Raten fielen bei Männern, stiegen bei Frauen. Lastspitze Alter 70–74 Jahre. Nur High-SDI-Regionen zeigten steigende altersstandarisierte Raten; Osteuropa fiel deutlich. Projektion 2022–2050: Anhaltender Anstieg altersstandarisierter Prävalenz und Krankheitslast, leicht höher bei Frauen.</w:t>
      </w:r>
    </w:p>
    <w:p>
      <w:r>
        <w:rPr>
          <w:b/>
          <w:sz w:val="19"/>
        </w:rPr>
        <w:t xml:space="preserve">Übertragbarkeit: </w:t>
      </w:r>
      <w:r>
        <w:rPr>
          <w:sz w:val="19"/>
        </w:rPr>
        <w:t>Globale GBD-Daten, Mehrfacherkrankung zentral, strukturelle Übertragbarkeit begrenzt</w:t>
      </w:r>
    </w:p>
    <w:p>
      <w:r>
        <w:rPr>
          <w:color w:val="5A7D3A"/>
          <w:sz w:val="18"/>
        </w:rPr>
        <w:t>https://pubmed.ncbi.nlm.nih.gov/42891260/</w:t>
      </w:r>
    </w:p>
    <w:p>
      <w:pPr>
        <w:pStyle w:val="Heading2"/>
      </w:pPr>
      <w:r>
        <w:t>CIDP in Saudi-Arabien: 89% erreichten klinische Besserung, 42% Relapse nach 11 Monaten</w:t>
      </w:r>
    </w:p>
    <w:p>
      <w:r>
        <w:rPr>
          <w:i/>
          <w:color w:val="666666"/>
          <w:sz w:val="18"/>
        </w:rPr>
        <w:t>Alhammad RM et al.  ·  Front Neurol  ·  01.10.2026  ·  PMID 42890075</w:t>
      </w:r>
    </w:p>
    <w:p>
      <w:r>
        <w:t>Multizentrische retrospektive Kohorte von 36 Patienten (18 m, 18 w) mit CIDP aus 5 Krankenhäusern in Saudi-Arabien (2014–2025) zur Charakterisierung Demografie, Klinik, Elektrophysiologie und Therapieergebnisse.</w:t>
      </w:r>
    </w:p>
    <w:p>
      <w:r>
        <w:rPr>
          <w:b/>
        </w:rPr>
        <w:t xml:space="preserve">Ergebnis: </w:t>
      </w:r>
      <w:r>
        <w:t>33 CIDP, 3 mögliche CIDP, Onset-Alter Durchschnitt 33 Jahre (Erwachsene: 40 Jahre). Typisch CIDP 72%, distal 8%, motorisch-dominiert 8%, multifokal 8%. Primär IVIG (42%) oder orale Steroide (33%) zur Erhaltung. Über 55 Monate: 89% erreichten mittlere Besserung im INCAT-Score (3,7-Punkte-Änderung) und 83% im MRCSS (11,9-Punkte-Änderung, p&lt;0,001). Relapse bei 42% nach mittleren 11 Monaten, meist durch suboptimale Therapie oder Nichtkompliance.</w:t>
      </w:r>
    </w:p>
    <w:p>
      <w:r>
        <w:rPr>
          <w:b/>
          <w:sz w:val="19"/>
        </w:rPr>
        <w:t xml:space="preserve">Übertragbarkeit: </w:t>
      </w:r>
      <w:r>
        <w:rPr>
          <w:sz w:val="19"/>
        </w:rPr>
        <w:t>Saudi-Arabien, multizentrische klinische Kohortendaten; regionales Benchmark für künftige Studien</w:t>
      </w:r>
    </w:p>
    <w:p>
      <w:r>
        <w:rPr>
          <w:color w:val="5A7D3A"/>
          <w:sz w:val="18"/>
        </w:rPr>
        <w:t>https://pubmed.ncbi.nlm.nih.gov/42890075/</w:t>
      </w:r>
    </w:p>
    <w:p>
      <w:pPr>
        <w:pStyle w:val="Heading2"/>
      </w:pPr>
      <w:r>
        <w:t>Hohes Parathormon vor Transplantation sagte persistierende Hyperparathyreose voraus</w:t>
      </w:r>
    </w:p>
    <w:p>
      <w:r>
        <w:rPr>
          <w:i/>
          <w:color w:val="666666"/>
          <w:sz w:val="18"/>
        </w:rPr>
        <w:t>Lam KH et al.  ·  Medicine (Baltimore)  ·  16.10.2026  ·  PMID 42888627</w:t>
      </w:r>
    </w:p>
    <w:p>
      <w:r>
        <w:t>Prospektive Kohorte von 104 Patienten mit Nierenterminalstadium nach Nierentransplantation zur Identifikation von Risikofaktoren für persistierende Hyperparathyreose (PTH ≥150 pg/mL) 6 Monate nach Transplantation.</w:t>
      </w:r>
    </w:p>
    <w:p>
      <w:r>
        <w:rPr>
          <w:b/>
        </w:rPr>
        <w:t xml:space="preserve">Ergebnis: </w:t>
      </w:r>
      <w:r>
        <w:t>Prävalenz persistierende Hyperparathyreose: 58,65%. Patienten mit persistierender Hyperparathyreose hatten signifikant höhere Baseline-PTH (Median 489 vs. 273 pg/mL, p&lt;0,001) und alkalische Phosphatase (Median 102,0 vs. 89,5 U/L, p=0,025). Längere Dialysedauer war assoziiert (Median 2,0 vs. 1,0 Jahre, p&lt;0,001). Höheres Baseline-PTH war unabhängig assoziiert mit persistierender Hyperparathyreose; Dialysedauer nur signifikant ≥1 Jahr.</w:t>
      </w:r>
    </w:p>
    <w:p>
      <w:r>
        <w:rPr>
          <w:b/>
          <w:sz w:val="19"/>
        </w:rPr>
        <w:t xml:space="preserve">Übertragbarkeit: </w:t>
      </w:r>
      <w:r>
        <w:rPr>
          <w:sz w:val="19"/>
        </w:rPr>
        <w:t>Vietnam, prospektive Klinikdaten; strukturelle Vergleichbarkeit eingeschränkt</w:t>
      </w:r>
    </w:p>
    <w:p>
      <w:r>
        <w:rPr>
          <w:color w:val="5A7D3A"/>
          <w:sz w:val="18"/>
        </w:rPr>
        <w:t>https://pubmed.ncbi.nlm.nih.gov/42888627/</w:t>
      </w:r>
    </w:p>
    <w:p>
      <w:pPr>
        <w:pStyle w:val="Heading2"/>
      </w:pPr>
      <w:r>
        <w:t>Medicare Advantage verschärft Zugang zu Nierendialyse und Transplantation</w:t>
      </w:r>
    </w:p>
    <w:p>
      <w:r>
        <w:rPr>
          <w:i/>
          <w:color w:val="666666"/>
          <w:sz w:val="18"/>
        </w:rPr>
        <w:t>Tyler DA et al.  ·  Health Serv Res  ·  Okt. 2026  ·  PMID 42888180</w:t>
      </w:r>
    </w:p>
    <w:p>
      <w:r>
        <w:t>Qualitative Studie mit 48 Interviews (56 Teilnehmende) aus Krankenversicherungsplänen, Dialyseanbieter und Nierenprogrammen in USA zur Versorgungszugang bei Nierenschädigung Terminal (ESRD) unter Medicare Advantage seit 2021.</w:t>
      </w:r>
    </w:p>
    <w:p>
      <w:r>
        <w:rPr>
          <w:b/>
        </w:rPr>
        <w:t xml:space="preserve">Ergebnis: </w:t>
      </w:r>
      <w:r>
        <w:t>Perspektiven divergierten zwischen Organisationen: Große Dialyseanbieter berichteten keine Zugangsbarrieren, kleine Anbieter beschrieben, dass Patienten zu weiter entfernten In-Network-Einrichtungen fahren mussten. Patienten waren sich Netzwerk-Restriktionen nicht bewusst. Versicherer beschrieben Beschränkungen auf «Centers of Excellence» für Transplantation; andere Teilnehmende berichteten, diese Restriktionen behinderten Transplantationszugang. Zusatzleistungen wurden von Führungskräften als wertvoll dargestellt, von Frontpersonal aber als weniger umfassend als angekündigt beschrieben.</w:t>
      </w:r>
    </w:p>
    <w:p>
      <w:r>
        <w:rPr>
          <w:b/>
          <w:sz w:val="19"/>
        </w:rPr>
        <w:t xml:space="preserve">Übertragbarkeit: </w:t>
      </w:r>
      <w:r>
        <w:rPr>
          <w:sz w:val="19"/>
        </w:rPr>
        <w:t>USA, Medicare Advantage; Übertragbarkeit auf deutsche Versichertenversorgung gering</w:t>
      </w:r>
    </w:p>
    <w:p>
      <w:r>
        <w:rPr>
          <w:color w:val="5A7D3A"/>
          <w:sz w:val="18"/>
        </w:rPr>
        <w:t>https://pubmed.ncbi.nlm.nih.gov/42888180/</w:t>
      </w:r>
    </w:p>
    <w:p>
      <w:pPr>
        <w:pStyle w:val="Heading2"/>
      </w:pPr>
      <w:r>
        <w:t>IL-6-Spiegeldynamik, nicht Baseline, zeigte Ansprechen auf B-Zell-Therapie bei MS</w:t>
      </w:r>
    </w:p>
    <w:p>
      <w:r>
        <w:rPr>
          <w:i/>
          <w:color w:val="666666"/>
          <w:sz w:val="18"/>
        </w:rPr>
        <w:t>Kölsche T et al.  ·  BMC Neurol  ·  21.08.2026  ·  PMID 42629559</w:t>
      </w:r>
    </w:p>
    <w:p>
      <w:r>
        <w:t>Retrospektive Kohortenstudie an 73 MS-Patienten (30 schubförmig-remittierend, 43 primär progredient) unter Ocrelizumab zur Validierung von Baseline-IL-6 und longitudinalen IL-6-Spiegeln als Biomarker für Therapieerfolg über 24 Monate.</w:t>
      </w:r>
    </w:p>
    <w:p>
      <w:r>
        <w:rPr>
          <w:b/>
        </w:rPr>
        <w:t xml:space="preserve">Ergebnis: </w:t>
      </w:r>
      <w:r>
        <w:t>Baseline-IL-6 unterschied sich nicht zwischen MS-Patienten und gesunden Kontrollen (p=0,178). Baseline-IL-6 war kein unabhängiger Prädiktor für Krankheitsaktivität (HR 1,83, 95%-KI 0,73–4,61, p=0,989). Longitudinal: Patienten, die NEDA-3 (No Evidence of Disease Activity) erhielten, zeigten 50% IL-6-Reduktion nach 12 Monaten (mittlere Änderung −1,30 pg/mL, p=0,0318); Verlust von NEDA-3 ging mit stabilen IL-6-Werten einher (0,09 pg/mL). Schlussfolgerung: Dynamische IL-6-Spiegel, nicht statische Baseline, reflektieren Therapieantwort besser.</w:t>
      </w:r>
    </w:p>
    <w:p>
      <w:r>
        <w:rPr>
          <w:b/>
          <w:sz w:val="19"/>
        </w:rPr>
        <w:t xml:space="preserve">Übertragbarkeit: </w:t>
      </w:r>
      <w:r>
        <w:rPr>
          <w:sz w:val="19"/>
        </w:rPr>
        <w:t>Deutschland (Düsseldorf), klinische Routinedaten MS-Zentren, vergleichbares System</w:t>
      </w:r>
    </w:p>
    <w:p>
      <w:r>
        <w:rPr>
          <w:color w:val="5A7D3A"/>
          <w:sz w:val="18"/>
        </w:rPr>
        <w:t>https://pubmed.ncbi.nlm.nih.gov/42629559/</w:t>
      </w:r>
    </w:p>
    <w:p>
      <w:pPr>
        <w:pStyle w:val="Heading1"/>
      </w:pPr>
      <w:r>
        <w:t>Aufgenommen am 17.10.2026</w:t>
      </w:r>
    </w:p>
    <w:p>
      <w:pPr>
        <w:pStyle w:val="Heading2"/>
      </w:pPr>
      <w:r>
        <w:t>Nierentransplantation verbessert Lebensqualität deutlich auch in Ländern mit niedrigem Einkommen</w:t>
      </w:r>
    </w:p>
    <w:p>
      <w:r>
        <w:rPr>
          <w:i/>
          <w:color w:val="666666"/>
          <w:sz w:val="18"/>
        </w:rPr>
        <w:t>Jafry NH et al.  ·  Exp Clin Transplant  ·  Sept. 2026  ·  PMID 42885702</w:t>
      </w:r>
    </w:p>
    <w:p>
      <w:r>
        <w:t>Querschnittstudie mit 205 erwachsenen Nierentransplantatempfängern (≥1 Jahr nach Transplantation) in Pakistan zu gesundheitsbezogener Lebensqualität mittels SF-36.</w:t>
      </w:r>
    </w:p>
    <w:p>
      <w:r>
        <w:rPr>
          <w:b/>
        </w:rPr>
        <w:t xml:space="preserve">Ergebnis: </w:t>
      </w:r>
      <w:r>
        <w:t>SF-36-Durchschnittswert 99,5±4,81 (hohe Lebensqualität). Körperfunktion 96,8±8,5 und soziale Funktion 95,5±15,7 besonders hoch; Allgemeingesundheitswahrnehmung niedriger (82,5±22,5). Männliche Patienten hatten bessere körperliche Funktion als weibliche (p=0,031). Strukturierte Transplantprogramme wirksam auch unter Ressourcenmangel; geschlechtsspezifische Nachsorge empfohlen.</w:t>
      </w:r>
    </w:p>
    <w:p>
      <w:r>
        <w:rPr>
          <w:b/>
          <w:sz w:val="19"/>
        </w:rPr>
        <w:t xml:space="preserve">Übertragbarkeit: </w:t>
      </w:r>
      <w:r>
        <w:rPr>
          <w:sz w:val="19"/>
        </w:rPr>
        <w:t>Pakistan; begrenzt auf ähnlich strukturierte Gesundheitssysteme ohne Versicherungsschutz</w:t>
      </w:r>
    </w:p>
    <w:p>
      <w:r>
        <w:rPr>
          <w:color w:val="5A7D3A"/>
          <w:sz w:val="18"/>
        </w:rPr>
        <w:t>https://pubmed.ncbi.nlm.nih.gov/42885702/</w:t>
      </w:r>
    </w:p>
    <w:p>
      <w:pPr>
        <w:pStyle w:val="Heading2"/>
      </w:pPr>
      <w:r>
        <w:t>Polypharmaka-Intensität erhöht Funktionsbehinderung bei Mehrfacherkrankung: 5-Jahres-Longitudinalstudie in China</w:t>
      </w:r>
    </w:p>
    <w:p>
      <w:r>
        <w:rPr>
          <w:i/>
          <w:color w:val="666666"/>
          <w:sz w:val="18"/>
        </w:rPr>
        <w:t>Wang QC et al.  ·  Geriatr Gerontol Int  ·  Okt. 2026  ·  PMID 42885111</w:t>
      </w:r>
    </w:p>
    <w:p>
      <w:r>
        <w:t>Längsschnittstudie mit 7.477 chinesischen Teilnehmern ≥45 Jahren mit ≥2 chronischen Erkrankungen (CHARLS 2015–2020) zum Zusammenhang zwischen multimorbidity-adjusted pharmacotherapy intensity (MA-PI) und funktioneller Behinderung.</w:t>
      </w:r>
    </w:p>
    <w:p>
      <w:r>
        <w:rPr>
          <w:b/>
        </w:rPr>
        <w:t xml:space="preserve">Ergebnis: </w:t>
      </w:r>
      <w:r>
        <w:t>2020: 33,5% mit ADL-Behinderung, 22,8% mit incident ADL-Behinderung, 26,3% mit Hospitalisierung. Höhere MA-PI (Q3 vs. Q1): OR 1,21 (95%-KI 1,01–1,44) für ADL-Behinderung; Q4: OR 1,28 (95%-KI 1,07–1,53). Incident disability ohne Baseline-Behinderung: Q4 OR 1,32 (95%-KI 1,06–1,64). Hospitalisierung Q3/Q4: OR 1,24/1,29. MA-PI kann Überbehandlung und Funktionsverlust in der Population identifizieren.</w:t>
      </w:r>
    </w:p>
    <w:p>
      <w:r>
        <w:rPr>
          <w:b/>
          <w:sz w:val="19"/>
        </w:rPr>
        <w:t xml:space="preserve">Übertragbarkeit: </w:t>
      </w:r>
      <w:r>
        <w:rPr>
          <w:sz w:val="19"/>
        </w:rPr>
        <w:t>China; Mehrfacherkrankung und Polypharmaka-Problematik universal, Übertragung auf deutsche Kohorte sinnvoll</w:t>
      </w:r>
    </w:p>
    <w:p>
      <w:r>
        <w:rPr>
          <w:color w:val="5A7D3A"/>
          <w:sz w:val="18"/>
        </w:rPr>
        <w:t>https://pubmed.ncbi.nlm.nih.gov/42885111/</w:t>
      </w:r>
    </w:p>
    <w:p>
      <w:pPr>
        <w:pStyle w:val="Heading2"/>
      </w:pPr>
      <w:r>
        <w:t>Mehrfacherkrankung im Krankenhaus: Was erschwert Entscheidungen bei komplexen Patienten</w:t>
      </w:r>
    </w:p>
    <w:p>
      <w:r>
        <w:rPr>
          <w:i/>
          <w:color w:val="666666"/>
          <w:sz w:val="18"/>
        </w:rPr>
        <w:t>Pretorius S et al.  ·  BMC Med  ·  16.10.2026  ·  PMID 42881454</w:t>
      </w:r>
    </w:p>
    <w:p>
      <w:r>
        <w:t>Qualitative Studie mit 40 Klinikstaffmitarbeitern in England zu Entscheidungsfindung bei hospitalisierten Patienten mit Mehrfacherkrankung.</w:t>
      </w:r>
    </w:p>
    <w:p>
      <w:r>
        <w:rPr>
          <w:b/>
        </w:rPr>
        <w:t xml:space="preserve">Ergebnis: </w:t>
      </w:r>
      <w:r>
        <w:t>Personalentscheidungen werden durch komplexe Patientenprofile, Systemdruck und inflexible Strukturen behindert. Ärzte nutzen Heuristiken und relationale Strategien zur Risikominderung, berichten aber, dass compensatory work allein unzureichend ist. Systemische Änderungen – bessere Gemeindeversorgung, generalistisches Fachwissen, flexible Versorgungspfade – könnten helfen.</w:t>
      </w:r>
    </w:p>
    <w:p>
      <w:r>
        <w:rPr>
          <w:b/>
          <w:sz w:val="19"/>
        </w:rPr>
        <w:t xml:space="preserve">Übertragbarkeit: </w:t>
      </w:r>
      <w:r>
        <w:rPr>
          <w:sz w:val="19"/>
        </w:rPr>
        <w:t>England, NHS-System; übertragbar auf deutsche Kliniken mit ähnlicher Spezialisierungslogik</w:t>
      </w:r>
    </w:p>
    <w:p>
      <w:r>
        <w:rPr>
          <w:color w:val="5A7D3A"/>
          <w:sz w:val="18"/>
        </w:rPr>
        <w:t>https://pubmed.ncbi.nlm.nih.gov/42881454/</w:t>
      </w:r>
    </w:p>
    <w:p>
      <w:pPr>
        <w:pStyle w:val="Heading2"/>
      </w:pPr>
      <w:r>
        <w:t>Patientenerfahrung mit Mehrfacherkrankung im Krankenhaus: Spezialisierung als Hindernis</w:t>
      </w:r>
    </w:p>
    <w:p>
      <w:r>
        <w:rPr>
          <w:i/>
          <w:color w:val="666666"/>
          <w:sz w:val="18"/>
        </w:rPr>
        <w:t>Bellass S et al.  ·  BMC Med  ·  16.10.2026  ·  PMID 42881406</w:t>
      </w:r>
    </w:p>
    <w:p>
      <w:r>
        <w:t>Qualitative Studie mit 44 hospitalisierten Patienten (44 mit 2–11 Erkrankungen) in England zu deren Versorgungserfahrung.</w:t>
      </w:r>
    </w:p>
    <w:p>
      <w:r>
        <w:rPr>
          <w:b/>
        </w:rPr>
        <w:t xml:space="preserve">Ergebnis: </w:t>
      </w:r>
      <w:r>
        <w:t>Patienten erleben Krankenhaus als Spezialistenumgebung, die auf Einzelerkrankungen ausgerichtet ist. Positive Versorgung hängt von Alignment zwischen Kliniker- und Patientenwissen ab. Organisatorische Barrieren gegen holistische Betreuung wahrgenommen. Empfehlung: Einbezug von Patient-Expertise in Entscheidungsprozesse; flexibles Servicedesign erforderlich.</w:t>
      </w:r>
    </w:p>
    <w:p>
      <w:r>
        <w:rPr>
          <w:b/>
          <w:sz w:val="19"/>
        </w:rPr>
        <w:t xml:space="preserve">Übertragbarkeit: </w:t>
      </w:r>
      <w:r>
        <w:rPr>
          <w:sz w:val="19"/>
        </w:rPr>
        <w:t>England, NHS-Universitätskliniken; Struktur- und Koordinationsprobleme vergleichbar mit deutschen Klinikabläufen</w:t>
      </w:r>
    </w:p>
    <w:p>
      <w:r>
        <w:rPr>
          <w:color w:val="5A7D3A"/>
          <w:sz w:val="18"/>
        </w:rPr>
        <w:t>https://pubmed.ncbi.nlm.nih.gov/42881406/</w:t>
      </w:r>
    </w:p>
    <w:p>
      <w:pPr>
        <w:pStyle w:val="Heading2"/>
      </w:pPr>
      <w:r>
        <w:t>Atemmuskelkraft prognostiziert Symptomverschlechterung bei COPD besser als Standard-Spirometrie</w:t>
      </w:r>
    </w:p>
    <w:p>
      <w:r>
        <w:rPr>
          <w:i/>
          <w:color w:val="666666"/>
          <w:sz w:val="18"/>
        </w:rPr>
        <w:t>Niu M et al.  ·  Clin Respir J  ·  Okt. 2026  ·  PMID 42878658</w:t>
      </w:r>
    </w:p>
    <w:p>
      <w:r>
        <w:t>Retrospektive Kohortenstudie mit 203 stabilen COPD-Patienten zur Vorhersage klinisch signifikanter CAT-Score-Verschlechterung (≥2 Punkte/12 Monate) mittels Atemmuskelkraft.</w:t>
      </w:r>
    </w:p>
    <w:p>
      <w:r>
        <w:rPr>
          <w:b/>
        </w:rPr>
        <w:t xml:space="preserve">Ergebnis: </w:t>
      </w:r>
      <w:r>
        <w:t>62 Patienten (30,5%) erlebten CAT-Verschlechterung. Niedrigere FEV₁%-Vorhersage, maximale inspiratorische Druckfunktion (MIP) und Zwerchfellverdickungsfraktion (DTF) waren protektiv. Modell mit MIP/DTF: AUC 0,873 (95%-KI 0,822–0,924), nach Optimismus-Korrektur 0,859. MIP/DTF erhöhten AUC von 0,801 auf 0,873 (NRI 0,527, IDI 0,058). Externe Validierung erforderlich.</w:t>
      </w:r>
    </w:p>
    <w:p>
      <w:r>
        <w:rPr>
          <w:b/>
          <w:sz w:val="19"/>
        </w:rPr>
        <w:t xml:space="preserve">Übertragbarkeit: </w:t>
      </w:r>
      <w:r>
        <w:rPr>
          <w:sz w:val="19"/>
        </w:rPr>
        <w:t>China; Atemmuskelprüfung in allen Ländern möglich, Übertragbarkeit des Prognose-Modells offen</w:t>
      </w:r>
    </w:p>
    <w:p>
      <w:r>
        <w:rPr>
          <w:color w:val="5A7D3A"/>
          <w:sz w:val="18"/>
        </w:rPr>
        <w:t>https://pubmed.ncbi.nlm.nih.gov/42878658/</w:t>
      </w:r>
    </w:p>
    <w:p>
      <w:pPr>
        <w:pStyle w:val="Heading2"/>
      </w:pPr>
      <w:r>
        <w:t>Akutes Nierenschädigungssyndrom nach akutem Nierenversagen: 45,6% entwickeln Chronizität innerhalb von 90 Tagen</w:t>
      </w:r>
    </w:p>
    <w:p>
      <w:r>
        <w:rPr>
          <w:i/>
          <w:color w:val="666666"/>
          <w:sz w:val="18"/>
        </w:rPr>
        <w:t>Hu S et al.  ·  Ren Fail  ·  15.10.2026  ·  PMID 42876246</w:t>
      </w:r>
    </w:p>
    <w:p>
      <w:r>
        <w:t>Retrospektive Kohortenstudie mit 23.868 erwachsenen Patienten nach mindestens einer AKI-Episode (2015–2024) in China zur Inzidenz und Prognose des Acute Kidney Disease (AKD).</w:t>
      </w:r>
    </w:p>
    <w:p>
      <w:r>
        <w:rPr>
          <w:b/>
        </w:rPr>
        <w:t xml:space="preserve">Ergebnis: </w:t>
      </w:r>
      <w:r>
        <w:t>10.884 von 23.868 Patienten (45,6%) entwickelten AKD. Unabhängige Risikofaktoren: hohes Alter, Hypertonie, Herzinsuffizienz, Zirrhose, Diuretikagebrauch, höheres AKI-Stadium, Dialyse-Bedarf. Unter 6.597 Patienten ohne vorbestehende CKD entwickelten 19,8% de novo CKD (HR 1,92; 95%-KI 1,70–2,17). Frühe Erkennung und Zielinterventionen für Risikopatienten essenziell.</w:t>
      </w:r>
    </w:p>
    <w:p>
      <w:r>
        <w:rPr>
          <w:b/>
          <w:sz w:val="19"/>
        </w:rPr>
        <w:t xml:space="preserve">Übertragbarkeit: </w:t>
      </w:r>
      <w:r>
        <w:rPr>
          <w:sz w:val="19"/>
        </w:rPr>
        <w:t>China; Datengründung und Risikofaktoren auf nicht-europäische Population bezogen</w:t>
      </w:r>
    </w:p>
    <w:p>
      <w:r>
        <w:rPr>
          <w:color w:val="5A7D3A"/>
          <w:sz w:val="18"/>
        </w:rPr>
        <w:t>https://pubmed.ncbi.nlm.nih.gov/42876246/</w:t>
      </w:r>
    </w:p>
    <w:p>
      <w:pPr>
        <w:pStyle w:val="Heading2"/>
      </w:pPr>
      <w:r>
        <w:t>Antivirale Therapie bei HBV-HCC untergenutzt: 3- und 5-Jahres-Überlebensraten um 20% höher mit Behandlung</w:t>
      </w:r>
    </w:p>
    <w:p>
      <w:r>
        <w:rPr>
          <w:i/>
          <w:color w:val="666666"/>
          <w:sz w:val="18"/>
        </w:rPr>
        <w:t>Kudaravalli S et al.  ·  J Viral Hepat  ·  Nov. 2026  ·  PMID 42876044</w:t>
      </w:r>
    </w:p>
    <w:p>
      <w:r>
        <w:t>Systematischer Review und Meta-Analyse von 78 Studien (68.243 Patienten, 2006–2024) zur Nutzung von Nukleosid(t)id-Analoga und Überleben bei HBV-assoziiertem hepatozellulärem Karzinom.</w:t>
      </w:r>
    </w:p>
    <w:p>
      <w:r>
        <w:rPr>
          <w:b/>
        </w:rPr>
        <w:t xml:space="preserve">Ergebnis: </w:t>
      </w:r>
      <w:r>
        <w:t>Gepoolte antivirale Behandlungsrate 53,1% (52 Studien, 41.345 Patienten); nur 17,2% erhielten Therapie vor HCC-Diagnose. Behandelte vs. Unbehandelte: 3-Jahres-OS 80,4% vs. 59,2% (p&lt;0,01), 5-Jahres-OS 72,1% vs. 46,8% (p&lt;0,01). Bei inaktivem HCC 5-Jahres-OS 78,0% vs. 56,4% (p&lt;0,01). Antivirale Therapie bleibt unabhängig mit verbessertem 5-Jahres-Überleben assoziiert.</w:t>
      </w:r>
    </w:p>
    <w:p>
      <w:r>
        <w:rPr>
          <w:b/>
          <w:sz w:val="19"/>
        </w:rPr>
        <w:t xml:space="preserve">Übertragbarkeit: </w:t>
      </w:r>
      <w:r>
        <w:rPr>
          <w:sz w:val="19"/>
        </w:rPr>
        <w:t>Globale Daten; Versorgungslücke universal, Kosteneffektivität muss regional geklärt werden</w:t>
      </w:r>
    </w:p>
    <w:p>
      <w:r>
        <w:rPr>
          <w:color w:val="5A7D3A"/>
          <w:sz w:val="18"/>
        </w:rPr>
        <w:t>https://pubmed.ncbi.nlm.nih.gov/42876044/</w:t>
      </w:r>
    </w:p>
    <w:p>
      <w:pPr>
        <w:pStyle w:val="Heading1"/>
      </w:pPr>
      <w:r>
        <w:t>Aufgenommen am 16.10.2026</w:t>
      </w:r>
    </w:p>
    <w:p>
      <w:pPr>
        <w:pStyle w:val="Heading2"/>
      </w:pPr>
      <w:r>
        <w:t>α1-Antitrypsin-Mangel unterdiagnostiziert: Testung bei nur 5,8 % der COPD-Patienten</w:t>
      </w:r>
    </w:p>
    <w:p>
      <w:r>
        <w:rPr>
          <w:i/>
          <w:color w:val="666666"/>
          <w:sz w:val="18"/>
        </w:rPr>
        <w:t>Baldomero AK et al.  ·  JAMA Netw Open  ·  01.10.2026  ·  PMID 42879152</w:t>
      </w:r>
    </w:p>
    <w:p>
      <w:r>
        <w:t>Retrospektive multizentrische Kohortenstudie mit 2.384.913 Personen mit COPD/Asthma aus US-Veteranensystem 2020–2024 zur Testungsrate und Therapie des α1-Antitrypsin-Mangels und deren Ungleichverteilung.</w:t>
      </w:r>
    </w:p>
    <w:p>
      <w:r>
        <w:rPr>
          <w:b/>
        </w:rPr>
        <w:t xml:space="preserve">Ergebnis: </w:t>
      </w:r>
      <w:r>
        <w:t>Von 2.384.913 Patienten wurden 138.278 (5,8 %) getestet; von 8.564 Diagnosefällen erhielten nur 320 (3,7 %) Augmentationstherapie. Assoziationen: höhere Testung mit Zirrhose (aOR 6,40; 95%-KI: 6,29–6,51) und Bronchiektasen (aOR 3,73; 95%-KI: 3,59–3,87). Niedrigere Testung: höheres Alter, aktiver Tabakkonsum, längere Anfahrtszeiten (&gt;90 vs. ≤30 min: aOR 0,63). Disparitäten nach Ethnizität und sozioökonomischem Status.</w:t>
      </w:r>
    </w:p>
    <w:p>
      <w:r>
        <w:rPr>
          <w:b/>
          <w:sz w:val="19"/>
        </w:rPr>
        <w:t xml:space="preserve">Übertragbarkeit: </w:t>
      </w:r>
      <w:r>
        <w:rPr>
          <w:sz w:val="19"/>
        </w:rPr>
        <w:t>USA – Befund der Unterdiagnose und Ungleichverteilung ist grundsätzlich übertragbar; System unterscheidet sich erheblich.</w:t>
      </w:r>
    </w:p>
    <w:p>
      <w:r>
        <w:rPr>
          <w:color w:val="5A7D3A"/>
          <w:sz w:val="18"/>
        </w:rPr>
        <w:t>https://pubmed.ncbi.nlm.nih.gov/42879152/</w:t>
      </w:r>
    </w:p>
    <w:p>
      <w:pPr>
        <w:pStyle w:val="Heading2"/>
      </w:pPr>
      <w:r>
        <w:t>Glukoseverwertung sagt Mehrfacherkrankung besser voraus als andere Marker</w:t>
      </w:r>
    </w:p>
    <w:p>
      <w:r>
        <w:rPr>
          <w:i/>
          <w:color w:val="666666"/>
          <w:sz w:val="18"/>
        </w:rPr>
        <w:t>Wang Z et al.  ·  Front Endocrinol (Lausanne)  ·  30.09.2026  ·  PMID 42877036</w:t>
      </w:r>
    </w:p>
    <w:p>
      <w:r>
        <w:t>Longitudinale Kohortenstudie mit 6.407 chinesischen Teilnehmern (45–79 Jahre) aus CHARLS 2011–2020 zur Vorhersage von kardiometabolischer Mehrfacherkrankung (mind. 2 von: Diabetes, Herzerkrankung, Schlaganfall) mittels eGDR, TyG und AIP.</w:t>
      </w:r>
    </w:p>
    <w:p>
      <w:r>
        <w:rPr>
          <w:b/>
        </w:rPr>
        <w:t xml:space="preserve">Ergebnis: </w:t>
      </w:r>
      <w:r>
        <w:t>593 Fälle von Mehrfacherkrankung. eGDR: HR 1,92 (95%-KI: 1,77–2,09) pro SD ungünstiger Richtung; TyG: HR 1,69 (95%-KI: 1,57–1,82); AIP: HR 1,51 (95%-KI: 1,39–1,64). eGDR zeigte größten Einzelmarker-Gewinn (ΔC-Index 0,041), TyG komplementär; AIP marginal. Interne Validierung bestätigt.</w:t>
      </w:r>
    </w:p>
    <w:p>
      <w:r>
        <w:rPr>
          <w:b/>
          <w:sz w:val="19"/>
        </w:rPr>
        <w:t xml:space="preserve">Übertragbarkeit: </w:t>
      </w:r>
      <w:r>
        <w:rPr>
          <w:sz w:val="19"/>
        </w:rPr>
        <w:t>China, repräsentative Kohortenstudie; Risikoscores unabhängig vom Gesundheitssystem übertragbar.</w:t>
      </w:r>
    </w:p>
    <w:p>
      <w:r>
        <w:rPr>
          <w:color w:val="5A7D3A"/>
          <w:sz w:val="18"/>
        </w:rPr>
        <w:t>https://pubmed.ncbi.nlm.nih.gov/42877036/</w:t>
      </w:r>
    </w:p>
    <w:p>
      <w:pPr>
        <w:pStyle w:val="Heading2"/>
      </w:pPr>
      <w:r>
        <w:t>PaCO₂-Schwellwert sagt Scheitern der NIV bei COPD-Exazerbation voraus</w:t>
      </w:r>
    </w:p>
    <w:p>
      <w:r>
        <w:rPr>
          <w:i/>
          <w:color w:val="666666"/>
          <w:sz w:val="18"/>
        </w:rPr>
        <w:t>Song F et al.  ·  Int J Chron Obstruct Pulmon Dis  ·  09.10.2026  ·  PMID 42876922</w:t>
      </w:r>
    </w:p>
    <w:p>
      <w:r>
        <w:t>Zweizentrische retrospektive Kohortenstudie mit 676 Patienten mit akuter COPD-Exazerbation und Typ-II-Ateminsuffizienz, behandelt mit nicht-invasiver Beatmung (NIV), zur Vorhersage von NIV-Versagen.</w:t>
      </w:r>
    </w:p>
    <w:p>
      <w:r>
        <w:rPr>
          <w:b/>
        </w:rPr>
        <w:t xml:space="preserve">Ergebnis: </w:t>
      </w:r>
      <w:r>
        <w:t>NIV-Versagen in 10,8 % (73 Patienten). Nach vollständiger Anpassung: jede Steigerung von PaCO₂ um 1 mmHg mit 3 % höherer Versagenswahrscheinlichkeit (OR 1,03; 95%-KI: 1,01–1,06). Schwellwert bei 60,2 mmHg identifiziert Hochrisikopatienten; AUC 0,805 des multivariaten Modells.</w:t>
      </w:r>
    </w:p>
    <w:p>
      <w:r>
        <w:rPr>
          <w:b/>
          <w:sz w:val="19"/>
        </w:rPr>
        <w:t xml:space="preserve">Übertragbarkeit: </w:t>
      </w:r>
      <w:r>
        <w:rPr>
          <w:sz w:val="19"/>
        </w:rPr>
        <w:t>China, klinische Routine; verfügbarer Bedside-Parameter, unabhängig von Gesundheitssystem.</w:t>
      </w:r>
    </w:p>
    <w:p>
      <w:r>
        <w:rPr>
          <w:color w:val="5A7D3A"/>
          <w:sz w:val="18"/>
        </w:rPr>
        <w:t>https://pubmed.ncbi.nlm.nih.gov/42876922/</w:t>
      </w:r>
    </w:p>
    <w:p>
      <w:pPr>
        <w:pStyle w:val="Heading2"/>
      </w:pPr>
      <w:r>
        <w:t>Koordinierte Pflege verbessert Versorgung von älteren Menschen mit Mehrfacherkrankungen</w:t>
      </w:r>
    </w:p>
    <w:p>
      <w:r>
        <w:rPr>
          <w:i/>
          <w:color w:val="666666"/>
          <w:sz w:val="18"/>
        </w:rPr>
        <w:t>Lagerin A et al.  ·  BMC Prim Care  ·  09.10.2026  ·  PMID 42875741</w:t>
      </w:r>
    </w:p>
    <w:p>
      <w:r>
        <w:t>Qualitative Studie mit 15 Bezirkspflegerinnen an fünf schwedischen Hausarztpraxen zur Versorgung älterer Menschen mit komplexer Mehrfacherkrankung und psychischen Problemen.</w:t>
      </w:r>
    </w:p>
    <w:p>
      <w:r>
        <w:rPr>
          <w:b/>
        </w:rPr>
        <w:t xml:space="preserve">Ergebnis: </w:t>
      </w:r>
      <w:r>
        <w:t>Fachkräfte fühlen sich fachlich kompetent und bereit, Verantwortung für Patienten mit Mehrfacherkrankungen zu übernehmen – wenn Zeit, Unterstützung und Struktur vorhanden sind. Zentrale Erkenntnisse: Bedarf nach verbindlich definierten Rollen, Grenzen für Koordinierungsaufgaben und struktureller Entlastung bei Kooperationslücken.</w:t>
      </w:r>
    </w:p>
    <w:p>
      <w:r>
        <w:rPr>
          <w:b/>
          <w:sz w:val="19"/>
        </w:rPr>
        <w:t xml:space="preserve">Übertragbarkeit: </w:t>
      </w:r>
      <w:r>
        <w:rPr>
          <w:sz w:val="19"/>
        </w:rPr>
        <w:t>Schweden, Hausarztpraxen; ähnliche Primärversorgungsstruktur wie Deutschland-Ansätze ohne verbindliche Steuerung.</w:t>
      </w:r>
    </w:p>
    <w:p>
      <w:r>
        <w:rPr>
          <w:color w:val="5A7D3A"/>
          <w:sz w:val="18"/>
        </w:rPr>
        <w:t>https://pubmed.ncbi.nlm.nih.gov/42875741/</w:t>
      </w:r>
    </w:p>
    <w:p>
      <w:pPr>
        <w:pStyle w:val="Heading2"/>
      </w:pPr>
      <w:r>
        <w:t>Post-COVID-Symptome bei Migranten: ethnische Unterschiede in Amsterdam</w:t>
      </w:r>
    </w:p>
    <w:p>
      <w:r>
        <w:rPr>
          <w:i/>
          <w:color w:val="666666"/>
          <w:sz w:val="18"/>
        </w:rPr>
        <w:t>Spronk M et al.  ·  Epidemiol Infect  ·  14.10.2026  ·  PMID 42870569</w:t>
      </w:r>
    </w:p>
    <w:p>
      <w:r>
        <w:t>Retrospektive Kohortenstudie mit 932 COVID-19-Erkrankten in Amsterdam zur Prävalenz von post-COVID-Symptomen (≥3 Monate) stratifiziert nach sechs ethnischen Gruppen.</w:t>
      </w:r>
    </w:p>
    <w:p>
      <w:r>
        <w:rPr>
          <w:b/>
        </w:rPr>
        <w:t xml:space="preserve">Ergebnis: </w:t>
      </w:r>
      <w:r>
        <w:t>31 % (95%-KI: 27–37 %) entwickelten post-COVID-Symptome. Nach 3 Monaten: 17 % bei niederländischer Herkunft vs. 41 % (95%-KI: 34–48 %) bei südostasiatisch-surinamischer Herkunft, beide p &lt; 0,001. Risikofaktoren: südostasiatisch-surinamische, türkische oder marokkanische Herkunft, höheres Alter, weiblich, niedrigere Bildung, Adipositas.</w:t>
      </w:r>
    </w:p>
    <w:p>
      <w:r>
        <w:rPr>
          <w:b/>
          <w:sz w:val="19"/>
        </w:rPr>
        <w:t xml:space="preserve">Übertragbarkeit: </w:t>
      </w:r>
      <w:r>
        <w:rPr>
          <w:sz w:val="19"/>
        </w:rPr>
        <w:t>Niederlande, vergleichbares Sozialsicherungssystem und Versorgungskontext.</w:t>
      </w:r>
    </w:p>
    <w:p>
      <w:r>
        <w:rPr>
          <w:color w:val="5A7D3A"/>
          <w:sz w:val="18"/>
        </w:rPr>
        <w:t>https://pubmed.ncbi.nlm.nih.gov/42870569/</w:t>
      </w:r>
    </w:p>
    <w:p>
      <w:pPr>
        <w:pStyle w:val="Heading2"/>
      </w:pPr>
      <w:r>
        <w:t>AA-Amyloidose bei autoinflammatorischen Erkrankungen: verzögerte Diagnose und hohe Krankheitslast</w:t>
      </w:r>
    </w:p>
    <w:p>
      <w:r>
        <w:rPr>
          <w:i/>
          <w:color w:val="666666"/>
          <w:sz w:val="18"/>
        </w:rPr>
        <w:t>El Moussaoui M et al.  ·  J Intern Med  ·  07.09.2026  ·  PMID 42706496</w:t>
      </w:r>
    </w:p>
    <w:p>
      <w:r>
        <w:t>Retrospektive Studie am französischen Referenzzentrum mit 181 Patienten mit sekundärer AA-Amyloidose; 50 davon (28 %) mit familiärem Mittelmeerfieber, CAPS, MKD oder TRAPS.</w:t>
      </w:r>
    </w:p>
    <w:p>
      <w:r>
        <w:rPr>
          <w:b/>
        </w:rPr>
        <w:t xml:space="preserve">Ergebnis: </w:t>
      </w:r>
      <w:r>
        <w:t>AA-Amyloidose ging der Diagnose der Grunderkrankung in 40 % der Fälle voraus (besonders bei Non-FMF). 46 % benötigten Nierentransplantation, Mortalität 26 % während Nachverfolgung. Erkrankungslast bleibt hoch trotz bekannter Erkrankung – weist auf verzögerte Diagnose hin.</w:t>
      </w:r>
    </w:p>
    <w:p>
      <w:r>
        <w:rPr>
          <w:b/>
          <w:sz w:val="19"/>
        </w:rPr>
        <w:t xml:space="preserve">Übertragbarkeit: </w:t>
      </w:r>
      <w:r>
        <w:rPr>
          <w:sz w:val="19"/>
        </w:rPr>
        <w:t>Frankreich, europäisches Referenzzentrum; übertragbar auf strukturierte Früherkennung in Deutschland.</w:t>
      </w:r>
    </w:p>
    <w:p>
      <w:r>
        <w:rPr>
          <w:color w:val="5A7D3A"/>
          <w:sz w:val="18"/>
        </w:rPr>
        <w:t>https://pubmed.ncbi.nlm.nih.gov/42706496/</w:t>
      </w:r>
    </w:p>
    <w:p>
      <w:pPr>
        <w:pStyle w:val="Heading1"/>
      </w:pPr>
      <w:r>
        <w:t>Aufgenommen am 15.10.2026</w:t>
      </w:r>
    </w:p>
    <w:p>
      <w:pPr>
        <w:pStyle w:val="Heading2"/>
      </w:pPr>
      <w:r>
        <w:t>COPD-Leitlinie: Gestaffelte Therapie senkt Exazerbationen in der Praxis</w:t>
      </w:r>
    </w:p>
    <w:p>
      <w:r>
        <w:rPr>
          <w:i/>
          <w:color w:val="666666"/>
          <w:sz w:val="18"/>
        </w:rPr>
        <w:t>D'Urzo AD et al.  ·  Can Fam Physician  ·  Okt. 2026  ·  PMID 42875068</w:t>
      </w:r>
    </w:p>
    <w:p>
      <w:r>
        <w:t>Umsetzungsleitlinie für Hausärzte zur 2023-Empfehlung der Canadian Thoracic Society beschreibt, wie Bronchodilator-Monotherapie bei leichter, Dualtherapie bei moderater und Tripeltherapie bei schwerer stabiler COPD die Symptome reduziert und Exazerbationen verhindert.</w:t>
      </w:r>
    </w:p>
    <w:p>
      <w:r>
        <w:rPr>
          <w:b/>
        </w:rPr>
        <w:t xml:space="preserve">Ergebnis: </w:t>
      </w:r>
      <w:r>
        <w:t>Stratifizierte Pharmakotherapie nach Symptombelastung und Exazerbationsrisiko: Single long-acting bronchodilator für milde, dual long-acting bronchodilator für moderate und single-inhaler triple therapy für schwere COPD mit hochem Exazerbationsrisiko reduziert Mortalität. Richtlinie betont Therapietreue als Erfolgsfaktor für Überlebensvorteil.</w:t>
      </w:r>
    </w:p>
    <w:p>
      <w:r>
        <w:rPr>
          <w:b/>
          <w:sz w:val="19"/>
        </w:rPr>
        <w:t xml:space="preserve">Übertragbarkeit: </w:t>
      </w:r>
      <w:r>
        <w:rPr>
          <w:sz w:val="19"/>
        </w:rPr>
        <w:t>Kanada, vergleichbare Primärversorgungsstruktur; direkt auf deutsche Disease-Management-Programme übertragbar</w:t>
      </w:r>
    </w:p>
    <w:p>
      <w:r>
        <w:rPr>
          <w:color w:val="5A7D3A"/>
          <w:sz w:val="18"/>
        </w:rPr>
        <w:t>https://pubmed.ncbi.nlm.nih.gov/42875068/</w:t>
      </w:r>
    </w:p>
    <w:p>
      <w:pPr>
        <w:pStyle w:val="Heading2"/>
      </w:pPr>
      <w:r>
        <w:t>Integriertes Care-Modell senkt Notaufnahmen bei High-Risk-COPD um 78 %</w:t>
      </w:r>
    </w:p>
    <w:p>
      <w:r>
        <w:rPr>
          <w:i/>
          <w:color w:val="666666"/>
          <w:sz w:val="18"/>
        </w:rPr>
        <w:t>Organista D et al.  ·  Acta Med Port  ·  01.10.2026  ·  PMID 42874036</w:t>
      </w:r>
    </w:p>
    <w:p>
      <w:r>
        <w:t>Portugiesische Vorher-nachher-Studie an 53 Hochrisiko-COPD-Patienten (LACE-Index &gt;9) evaluierte ein frühes, multidisziplinäres Versorgungsmodell mit ärztlicher, pflegerischer und sozialer Betreuung sowie hybrider Überwachung (vor Ort und remote).</w:t>
      </w:r>
    </w:p>
    <w:p>
      <w:r>
        <w:rPr>
          <w:b/>
        </w:rPr>
        <w:t xml:space="preserve">Ergebnis: </w:t>
      </w:r>
      <w:r>
        <w:t>Nach einem Jahr sanken mittlere Notaufnahmen von 3,09 auf 0,67 Besuche (−78 %, p&lt;0,001) und Hospitalisierungen von 1,39 auf 0,33 (−76 %, p&lt;0,001). Remote-Monitoring ermöglichte frühe klinische Interventionen; nur zwei Patienten mussten bei schwerem respiratorischen Versagen aufgenommen werden. Soziale Intervention half den meisten, häusliche Unterstützung zu halten.</w:t>
      </w:r>
    </w:p>
    <w:p>
      <w:r>
        <w:rPr>
          <w:b/>
          <w:sz w:val="19"/>
        </w:rPr>
        <w:t xml:space="preserve">Übertragbarkeit: </w:t>
      </w:r>
      <w:r>
        <w:rPr>
          <w:sz w:val="19"/>
        </w:rPr>
        <w:t>Portugal, ähnliche Sozialversicherungsstruktur; Koordination und Überwachungsmodelle auf deutsche integrierte Versorgung übertragbar</w:t>
      </w:r>
    </w:p>
    <w:p>
      <w:r>
        <w:rPr>
          <w:color w:val="5A7D3A"/>
          <w:sz w:val="18"/>
        </w:rPr>
        <w:t>https://pubmed.ncbi.nlm.nih.gov/42874036/</w:t>
      </w:r>
    </w:p>
    <w:p>
      <w:pPr>
        <w:pStyle w:val="Heading2"/>
      </w:pPr>
      <w:r>
        <w:t>Schwangerschaftskomplikationen erhöhen Risiko für Herz-Nieren-Erkrankungen</w:t>
      </w:r>
    </w:p>
    <w:p>
      <w:r>
        <w:rPr>
          <w:i/>
          <w:color w:val="666666"/>
          <w:sz w:val="18"/>
        </w:rPr>
        <w:t>Wambua S et al.  ·  BMJ Med  ·  06.10.2026  ·  PMID 42872422</w:t>
      </w:r>
    </w:p>
    <w:p>
      <w:r>
        <w:t>Longitudinale Kohortenstudie an 1,4 Millionen englischen Frauen untersuchte, wie Schwangerschaftskomplikationen das Risiko für kardiovaskuläre Erkrankungen, Typ-2-Diabetes, Hypertonie und chronische Nierenkrankheit in den Jahren nach der Schwangerschaft beeinflussen.</w:t>
      </w:r>
    </w:p>
    <w:p>
      <w:r>
        <w:rPr>
          <w:b/>
        </w:rPr>
        <w:t xml:space="preserve">Ergebnis: </w:t>
      </w:r>
      <w:r>
        <w:t>Gestationsdiabetes erhöhte das Typ-2-Diabetes-Risiko siebenfach (HR 7,0); Präeklampsie verdreifachte das Hypertonierisiko (HR 3,05) und verdoppelte das Nierenkrankheitsrisiko (HR 2,0). Postpartale Depression erhöhte alle vier Endpunkte um 35–56 % (HR 1,35–1,56). Diese Befunde unterstützen präventive Interventionen in der postpartalen Phase bei Frauen mit Schwangerschaftskomplikationen.</w:t>
      </w:r>
    </w:p>
    <w:p>
      <w:r>
        <w:rPr>
          <w:b/>
          <w:sz w:val="19"/>
        </w:rPr>
        <w:t xml:space="preserve">Übertragbarkeit: </w:t>
      </w:r>
      <w:r>
        <w:rPr>
          <w:sz w:val="19"/>
        </w:rPr>
        <w:t>England, vergleichbares Gesundheitssystem; Daten aus Primärversorgungsdatenbank</w:t>
      </w:r>
    </w:p>
    <w:p>
      <w:r>
        <w:rPr>
          <w:color w:val="5A7D3A"/>
          <w:sz w:val="18"/>
        </w:rPr>
        <w:t>https://pubmed.ncbi.nlm.nih.gov/42872422/</w:t>
      </w:r>
    </w:p>
    <w:p>
      <w:pPr>
        <w:pStyle w:val="Heading2"/>
      </w:pPr>
      <w:r>
        <w:t>Chronische Urtikaria erleichtert Früherkennung, aber nicht Kontrolle von Herz-Kreislauf-Erkrankungen</w:t>
      </w:r>
    </w:p>
    <w:p>
      <w:r>
        <w:rPr>
          <w:i/>
          <w:color w:val="666666"/>
          <w:sz w:val="18"/>
        </w:rPr>
        <w:t>Yang ZH et al.  ·  Biomed Environ Sci  ·  20.09.2026  ·  PMID 42870596</w:t>
      </w:r>
    </w:p>
    <w:p>
      <w:r>
        <w:t>Chinesische nationale Querschnittsstudie an 118.036 Erwachsenen mit Herz-Kreislauf-Erkrankungen untersuchte Prävalenz, Risikofaktoren und Auswirkungen chronischer Urtikaria auf Bewusstsein, Behandlung und Kontrolle von Hypertonie, Diabetes und Dyslipidämie.</w:t>
      </w:r>
    </w:p>
    <w:p>
      <w:r>
        <w:rPr>
          <w:b/>
        </w:rPr>
        <w:t xml:space="preserve">Ergebnis: </w:t>
      </w:r>
      <w:r>
        <w:t>Urtikaria-Prävalenz: 2,90 %, höher bei Frauen (3,41 % vs. 2,56 %) und Landbevölkerung. Risikofaktoren: aktuelles Rauchen (OR 1,17), Schlafmangel &lt;5h (OR 1,79) und &gt;10h (OR 1,39). Patienten mit Urtikaria zeigten höhere CMD-Bewusstseinraten (Hypertonie 50,7 % vs. 40,3 %) und Behandlungsquoten (Hypertonie 41,4 % vs. 34,2 %), aber vergleichbare Kontrollraten. Urtikaria wirkt als Marker, verbessert aber nicht die Krankheitskontrolle.</w:t>
      </w:r>
    </w:p>
    <w:p>
      <w:r>
        <w:rPr>
          <w:b/>
          <w:sz w:val="19"/>
        </w:rPr>
        <w:t xml:space="preserve">Übertragbarkeit: </w:t>
      </w:r>
      <w:r>
        <w:rPr>
          <w:sz w:val="19"/>
        </w:rPr>
        <w:t>China; Mehrfacherkrankung-Befunde aber unabhängig von Gesundheitssystem relevant</w:t>
      </w:r>
    </w:p>
    <w:p>
      <w:r>
        <w:rPr>
          <w:color w:val="5A7D3A"/>
          <w:sz w:val="18"/>
        </w:rPr>
        <w:t>https://pubmed.ncbi.nlm.nih.gov/42870596/</w:t>
      </w:r>
    </w:p>
    <w:p>
      <w:pPr>
        <w:pStyle w:val="Heading2"/>
      </w:pPr>
      <w:r>
        <w:t>Maresin-1-Profil markiert pädiatrische Nierenschädigung stadienabhängig</w:t>
      </w:r>
    </w:p>
    <w:p>
      <w:r>
        <w:rPr>
          <w:i/>
          <w:color w:val="666666"/>
          <w:sz w:val="18"/>
        </w:rPr>
        <w:t>Guler MA et al.  ·  BMC Nephrol  ·  28.09.2026  ·  PMID 42870244</w:t>
      </w:r>
    </w:p>
    <w:p>
      <w:r>
        <w:t>Türkische Querschnittsstudie an gesunden Kindern und Patienten mit CKD-Stadien 1–5 gemessen Serum-Maresin-1 (MaR1), ein pro-resolutives Lipidmediator-Biomarker, um dessen Rolle bei entzündlich-degenerativen Nierenprozessen zu charakterisieren.</w:t>
      </w:r>
    </w:p>
    <w:p>
      <w:r>
        <w:rPr>
          <w:b/>
        </w:rPr>
        <w:t xml:space="preserve">Ergebnis: </w:t>
      </w:r>
      <w:r>
        <w:t>Serum-MaR1-Konzentrationen zeigten stadienabhängiges Muster: Kontrollen 110,2 pg/mL, Stadium 1 CKD 20,0 pg/mL (deutlicher Abfall), dann progressive Erhöhung Stadium 2 (39,6), 3 (60,7), 4 (203,9), Stadium 5 (284,6 pg/mL). Markante Suppression in frühem Stadium gefolgt von progressiver Elevation in fortgeschrittenen Stadien deutet auf Biomarker-Potenzial hin, erfordert aber Validierung in Längsschnittstudien.</w:t>
      </w:r>
    </w:p>
    <w:p>
      <w:r>
        <w:rPr>
          <w:b/>
          <w:sz w:val="19"/>
        </w:rPr>
        <w:t xml:space="preserve">Übertragbarkeit: </w:t>
      </w:r>
      <w:r>
        <w:rPr>
          <w:sz w:val="19"/>
        </w:rPr>
        <w:t>Türkei; diagnostischer Biomarker-Ansatz prinzipiell systemunabhängig</w:t>
      </w:r>
    </w:p>
    <w:p>
      <w:r>
        <w:rPr>
          <w:color w:val="5A7D3A"/>
          <w:sz w:val="18"/>
        </w:rPr>
        <w:t>https://pubmed.ncbi.nlm.nih.gov/42870244/</w:t>
      </w:r>
    </w:p>
    <w:p>
      <w:pPr>
        <w:pStyle w:val="Heading2"/>
      </w:pPr>
      <w:r>
        <w:t>Frühe Nierenkoordinator-Überweisung verhindert ungeplante Dialyseeinleitung</w:t>
      </w:r>
    </w:p>
    <w:p>
      <w:r>
        <w:rPr>
          <w:i/>
          <w:color w:val="666666"/>
          <w:sz w:val="18"/>
        </w:rPr>
        <w:t>Tiew HW et al.  ·  BMC Nephrol  ·  05.08.2026  ·  PMID 42870239</w:t>
      </w:r>
    </w:p>
    <w:p>
      <w:r>
        <w:t>Singapurer Kohortenstudie mit 282 Patienten im Stadium 5 CKD untersuchte, wie der Zeitpunkt der Überweisung zu einem Nierenkoordinator (bei verschiedenen eGFR-Schwellwerten) das Risiko für ungeplante Dialyseeinleitung beeinflusst.</w:t>
      </w:r>
    </w:p>
    <w:p>
      <w:r>
        <w:rPr>
          <w:b/>
        </w:rPr>
        <w:t xml:space="preserve">Ergebnis: </w:t>
      </w:r>
      <w:r>
        <w:t>Überweisung bei eGFR 9–14 mL/min/1,73m² war mit 55 % niedrigerem Risiko für ungeplante Dialyseeinleitung assoziiert (HR 0,45, 95%-KI 0,22–0,91) im Vergleich zu späteren Überweisungen. Ungeplante Einleitung war häufiger bei CKD Stage 5 als Stage 4 (78,8 % vs. 62,5 %). Frühzeitige Koordination ermöglichte ausreichend Zeit für Vorbereitung eines permanenten Zugangs.</w:t>
      </w:r>
    </w:p>
    <w:p>
      <w:r>
        <w:rPr>
          <w:b/>
          <w:sz w:val="19"/>
        </w:rPr>
        <w:t xml:space="preserve">Übertragbarkeit: </w:t>
      </w:r>
      <w:r>
        <w:rPr>
          <w:sz w:val="19"/>
        </w:rPr>
        <w:t>Singapur, aber Case-Management-Prinzip auf deutsches Versorgungssystem und Hausarzt-Steuerung übertragbar</w:t>
      </w:r>
    </w:p>
    <w:p>
      <w:r>
        <w:rPr>
          <w:color w:val="5A7D3A"/>
          <w:sz w:val="18"/>
        </w:rPr>
        <w:t>https://pubmed.ncbi.nlm.nih.gov/42870239/</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2026-10-25T06:00:00Z</dcterms:created>
  <dcterms:modified xsi:type="dcterms:W3CDTF">2026-10-25T06:00:00Z</dcterms:modified>
  <cp:category/>
</cp:coreProperties>
</file>