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09.10.2026  |  286 Studien  |  ncd.m-vf.de</w:t>
      </w:r>
    </w:p>
    <w:p>
      <w:pPr>
        <w:pStyle w:val="Heading1"/>
      </w:pPr>
      <w:r>
        <w:t>Aufgenommen am 09.10.2026</w:t>
      </w:r>
    </w:p>
    <w:p>
      <w:pPr>
        <w:pStyle w:val="Heading2"/>
      </w:pPr>
      <w:r>
        <w:t>Intersektionale Diskriminierung erhöht Stress und Alkoholkonsum bei Minderheiten</w:t>
      </w:r>
    </w:p>
    <w:p>
      <w:r>
        <w:rPr>
          <w:i/>
          <w:color w:val="666666"/>
          <w:sz w:val="18"/>
        </w:rPr>
        <w:t>Smith MS et al.  ·  Ann Behav Med  ·  07.01.2026  ·  PMID 42847391</w:t>
      </w:r>
    </w:p>
    <w:p>
      <w:r>
        <w:t>Zwei Querschnittsstudien mit insgesamt 1.181 sexuellen Minderheitenmännern of Color zum Zusammenhang zwischen intersektionaler Diskriminierung (Rassismus und Heterosexismus gleichzeitig) und kardiometabolischen Risikofaktoren.</w:t>
      </w:r>
    </w:p>
    <w:p>
      <w:r>
        <w:rPr>
          <w:b/>
        </w:rPr>
        <w:t xml:space="preserve">Ergebnis: </w:t>
      </w:r>
      <w:r>
        <w:t>Intersektionale Diskriminierung war unabhängig mit wahrgenommenem Stress und Alkoholkonsum assoziiert (beide p &lt;0,05), ebenso mit erhöhtem BMI. Dies zeigt, dass überlappende Diskriminierungserfahrungen Gesundheitsverhalten ungünstiger beeinflussen als einzelne Diskriminierungsformen.</w:t>
      </w:r>
    </w:p>
    <w:p>
      <w:r>
        <w:rPr>
          <w:b/>
          <w:sz w:val="19"/>
        </w:rPr>
        <w:t xml:space="preserve">Übertragbarkeit: </w:t>
      </w:r>
      <w:r>
        <w:rPr>
          <w:sz w:val="19"/>
        </w:rPr>
        <w:t>USA-Studie, Mechanismus aber auf alle Mehrfachdiskriminierungs-Settings übertragbar, Deutschland mit migrantischen Communities.</w:t>
      </w:r>
    </w:p>
    <w:p>
      <w:r>
        <w:rPr>
          <w:color w:val="5A7D3A"/>
          <w:sz w:val="18"/>
        </w:rPr>
        <w:t>https://pubmed.ncbi.nlm.nih.gov/42847391/</w:t>
      </w:r>
    </w:p>
    <w:p>
      <w:pPr>
        <w:pStyle w:val="Heading2"/>
      </w:pPr>
      <w:r>
        <w:t>Yoga verbesserte Nierenfunktion bei CKD-Stadien 3–4 um 6,94 mL/min/1,73m² innerhalb 12 Wochen</w:t>
      </w:r>
    </w:p>
    <w:p>
      <w:r>
        <w:rPr>
          <w:i/>
          <w:color w:val="666666"/>
          <w:sz w:val="18"/>
        </w:rPr>
        <w:t>Nair RG et al.  ·  Ann Behav Med  ·  07.01.2026  ·  PMID 42847350</w:t>
      </w:r>
    </w:p>
    <w:p>
      <w:r>
        <w:t>Randomisierte kontrollierte Studie mit 81 CKD-Patienten in Stadien 3 und 4 (diabetische oder hypertensive Ätiologie), die 12 Wochen lang Yoga-Praktiken (5 Stunden pro Woche) zusätzlich zur Standardbehandlung erhielten.</w:t>
      </w:r>
    </w:p>
    <w:p>
      <w:r>
        <w:rPr>
          <w:b/>
        </w:rPr>
        <w:t xml:space="preserve">Ergebnis: </w:t>
      </w:r>
      <w:r>
        <w:t>Yoga-Gruppe zeigte signifikante Verbesserungen: Serum-Kreatinin -0,42 (p=0,013), geschätzte glomeruläre Filtrationsrate +6,94 mL/min/1,73m² (p=0,030), Urin-Albumin-Kreatinin-Ratio -464,2 mg/g (p=0,029) und TGF-β1 -218,2 pg/mL (p=0,021). Mediationsanalyse zeigt reduziertes TGF-β1 als Wirkpfad.</w:t>
      </w:r>
    </w:p>
    <w:p>
      <w:r>
        <w:rPr>
          <w:b/>
          <w:sz w:val="19"/>
        </w:rPr>
        <w:t xml:space="preserve">Übertragbarkeit: </w:t>
      </w:r>
      <w:r>
        <w:rPr>
          <w:sz w:val="19"/>
        </w:rPr>
        <w:t>Indien, aber Intervention universell einsetzbar, Kosteneffektivität, geringe Implementierungsbarrieren.</w:t>
      </w:r>
    </w:p>
    <w:p>
      <w:r>
        <w:rPr>
          <w:color w:val="5A7D3A"/>
          <w:sz w:val="18"/>
        </w:rPr>
        <w:t>https://pubmed.ncbi.nlm.nih.gov/42847350/</w:t>
      </w:r>
    </w:p>
    <w:p>
      <w:pPr>
        <w:pStyle w:val="Heading2"/>
      </w:pPr>
      <w:r>
        <w:t>Community-basierte Co-Design-Studie zu nachhaltiger Gesundheit bei Jugendlichen in Kanada und Jamaika</w:t>
      </w:r>
    </w:p>
    <w:p>
      <w:r>
        <w:rPr>
          <w:i/>
          <w:color w:val="666666"/>
          <w:sz w:val="18"/>
        </w:rPr>
        <w:t>Stennett R et al.  ·  BMJ Open  ·  07.10.2026  ·  PMID 42843868</w:t>
      </w:r>
    </w:p>
    <w:p>
      <w:r>
        <w:t>Protokoll einer Multimethod-Community-Based-Participatory-Research-Studie zur Entwicklung einer Intervention für Jugendliche (15–25 Jahre) zu nachhaltigem Lebensstil und Prävention nichtübertragbarer Erkrankungen durch Umwelt- und Gesundheitsperspektiven in zwei Phasen (kontextuelle Kartierung, Co-Design).</w:t>
      </w:r>
    </w:p>
    <w:p>
      <w:r>
        <w:rPr>
          <w:b/>
        </w:rPr>
        <w:t xml:space="preserve">Ergebnis: </w:t>
      </w:r>
      <w:r>
        <w:t>Dies ist ein Studienprotokoll, das die Machbarkeit, Umsetzungstreue und kontextuelle Passung einer SHAL-Intervention (Sustainability Healthy Active Living) in equity-deserving Populationen untersuchen wird. Erkenntnisse werden zur Finalisierung der Intervention und zu Best-Practice-Wissenstransfer in Konferenzen und Workshops führen. Fokus auf Jugendliche als Change Agents in präventiven, umweltbezogenen Systemen.</w:t>
      </w:r>
    </w:p>
    <w:p>
      <w:r>
        <w:rPr>
          <w:b/>
          <w:sz w:val="19"/>
        </w:rPr>
        <w:t xml:space="preserve">Übertragbarkeit: </w:t>
      </w:r>
      <w:r>
        <w:rPr>
          <w:sz w:val="19"/>
        </w:rPr>
        <w:t>Kanada mit vergleichbarem Versicherungssystem, präventives Gesundheitssystem mit Fokus auf Lebensstil und Mehrfacherkrankungen.</w:t>
      </w:r>
    </w:p>
    <w:p>
      <w:r>
        <w:rPr>
          <w:color w:val="5A7D3A"/>
          <w:sz w:val="18"/>
        </w:rPr>
        <w:t>https://pubmed.ncbi.nlm.nih.gov/42843868/</w:t>
      </w:r>
    </w:p>
    <w:p>
      <w:pPr>
        <w:pStyle w:val="Heading2"/>
      </w:pPr>
      <w:r>
        <w:t>COPD-Symptommonitoring in Pulmonalrehabilitation sagte schwere Exazerbationen nicht zuverlässig voraus</w:t>
      </w:r>
    </w:p>
    <w:p>
      <w:r>
        <w:rPr>
          <w:i/>
          <w:color w:val="666666"/>
          <w:sz w:val="18"/>
        </w:rPr>
        <w:t>Machefert M et al.  ·  Pulmonology  ·  07.10.2026  ·  PMID 42841793</w:t>
      </w:r>
    </w:p>
    <w:p>
      <w:r>
        <w:t>Prospektive Multicenterstudie mit 128 stabilen COPD-Patienten in Erhaltungs-Pulmonalrehabilitationen in Frankreich über ein Jahr mit 4.200 dokumentierten Sitzungen zur Vorhersage schwerer Exazerbationen durch klinische und Belastungsparameter.</w:t>
      </w:r>
    </w:p>
    <w:p>
      <w:r>
        <w:rPr>
          <w:b/>
        </w:rPr>
        <w:t xml:space="preserve">Ergebnis: </w:t>
      </w:r>
      <w:r>
        <w:t>Von 128 Patienten erlebten 19 (14,8%) schwere Exazerbationen. Routinemäßig dokumentierte klinische Marker (COPD Assessment Test, modifizierte Borg-Skala, Belastungsleistung) zeigten begrenzte Vorhersagekraft (AUC 0,45–0,58, alle p&gt;0,1); schwache zeitliche Assoziationen zwischen Symptomen und Leistung. Dies unterstreicht Komplexität der Exazerbationen und Bedarf für digitales Multiparameter-Monitoring.</w:t>
      </w:r>
    </w:p>
    <w:p>
      <w:r>
        <w:rPr>
          <w:b/>
          <w:sz w:val="19"/>
        </w:rPr>
        <w:t xml:space="preserve">Übertragbarkeit: </w:t>
      </w:r>
      <w:r>
        <w:rPr>
          <w:sz w:val="19"/>
        </w:rPr>
        <w:t>Frankreich, vergleichbare ambulante Strukturen, Finanzierung und Reha-Programme ähnlich Deutschland.</w:t>
      </w:r>
    </w:p>
    <w:p>
      <w:r>
        <w:rPr>
          <w:color w:val="5A7D3A"/>
          <w:sz w:val="18"/>
        </w:rPr>
        <w:t>https://pubmed.ncbi.nlm.nih.gov/42841793/</w:t>
      </w:r>
    </w:p>
    <w:p>
      <w:pPr>
        <w:pStyle w:val="Heading2"/>
      </w:pPr>
      <w:r>
        <w:t>Adipositas erhöhte chirurgische Komplikationen nach Nierentransplantation, nicht aber Langzeitüberleben</w:t>
      </w:r>
    </w:p>
    <w:p>
      <w:r>
        <w:rPr>
          <w:i/>
          <w:color w:val="666666"/>
          <w:sz w:val="18"/>
        </w:rPr>
        <w:t>Melera E et al.  ·  Clin Transplant  ·  Okt. 2026  ·  PMID 42839226</w:t>
      </w:r>
    </w:p>
    <w:p>
      <w:r>
        <w:t>Schweizer Einzelzentrum-Retrospektivstudie mit 953 aufeinanderfolgenden Nierenpatienten (150 adipös, BMI ≥30; 803 nicht adipös) von 1999 bis 2023 zur Auswirkung von Empfängeradipositas auf kurz- und langfristige Transplantationsergebnisse.</w:t>
      </w:r>
    </w:p>
    <w:p>
      <w:r>
        <w:rPr>
          <w:b/>
        </w:rPr>
        <w:t xml:space="preserve">Ergebnis: </w:t>
      </w:r>
      <w:r>
        <w:t>Adipöse Empfänger hatten höhere Raten von Operationsstellen-Infektionen (11 % vs. 3 %, p&lt;0,001), Gesamtinfektionen (29 % vs. 5 %, p&lt;0,001), Lymphozylen (18 % vs. 10 %, p=0,007), inkisionalen Hernien (10 % vs. 5 %, p=0,032) und verspäteter Transplantatalfunction (21 % vs. 14 %, p=0,024). Längerer Aufenthalt: 19 vs. 17 Tage (p=0,038). Patienten- und Transplantat-Überleben nach 7,3 Jahren gleich (Hazard Ratio 1,09 bzw. 0,92, p&gt;0,05). Adipositas sollte kein Kontraindikationskriterium sein.</w:t>
      </w:r>
    </w:p>
    <w:p>
      <w:r>
        <w:rPr>
          <w:b/>
          <w:sz w:val="19"/>
        </w:rPr>
        <w:t xml:space="preserve">Übertragbarkeit: </w:t>
      </w:r>
      <w:r>
        <w:rPr>
          <w:sz w:val="19"/>
        </w:rPr>
        <w:t>Schweiz, vergleichbares Sozialsystem und Transplantationsstruktur wie Deutschland und DACH-Region.</w:t>
      </w:r>
    </w:p>
    <w:p>
      <w:r>
        <w:rPr>
          <w:color w:val="5A7D3A"/>
          <w:sz w:val="18"/>
        </w:rPr>
        <w:t>https://pubmed.ncbi.nlm.nih.gov/42839226/</w:t>
      </w:r>
    </w:p>
    <w:p>
      <w:pPr>
        <w:pStyle w:val="Heading2"/>
      </w:pPr>
      <w:r>
        <w:t>Typ-2-Diabetes: Nierenerkrankungsrate sank von 55,3 auf 43,7 pro 1000 Personenjahre</w:t>
      </w:r>
    </w:p>
    <w:p>
      <w:r>
        <w:rPr>
          <w:i/>
          <w:color w:val="666666"/>
          <w:sz w:val="18"/>
        </w:rPr>
        <w:t>Lee CJ et al.  ·  Diabetes Obes Metab  ·  09.08.2026  ·  PMID 42571988</w:t>
      </w:r>
    </w:p>
    <w:p>
      <w:r>
        <w:t>Dänische Registeranalyse zur Prävalenz, Inzidenz und Mortalität der chronischen Nierenerkrankung bei 1,3 Millionen Personen mit Typ-1 und Typ-2-Diabetes zwischen 2016 und 2024.</w:t>
      </w:r>
    </w:p>
    <w:p>
      <w:r>
        <w:rPr>
          <w:b/>
        </w:rPr>
        <w:t xml:space="preserve">Ergebnis: </w:t>
      </w:r>
      <w:r>
        <w:t>Die Prävalenz der Nierenerkrankung stieg bei Typ-2-Diabetes von 24,8 % auf 37,3 %, die Inzidenz sank aber von 55,3 auf 43,7 pro 1000 Personenjahre (Hochaltrigkeit ≥70 Jahre: von 93,6 auf 74,3), die Mortalität blieb bei Patienten mit Nierenerkrankung erhöht. Das zeigt Prävention wirkt, Früherkennung aber lückenhaft.</w:t>
      </w:r>
    </w:p>
    <w:p>
      <w:r>
        <w:rPr>
          <w:b/>
          <w:sz w:val="19"/>
        </w:rPr>
        <w:t xml:space="preserve">Übertragbarkeit: </w:t>
      </w:r>
      <w:r>
        <w:rPr>
          <w:sz w:val="19"/>
        </w:rPr>
        <w:t>Dänisches Register mit deutschen Strukturen vergleichbar, DMP-Daten könnten ähnliche Trends zeigen.</w:t>
      </w:r>
    </w:p>
    <w:p>
      <w:r>
        <w:rPr>
          <w:color w:val="5A7D3A"/>
          <w:sz w:val="18"/>
        </w:rPr>
        <w:t>https://pubmed.ncbi.nlm.nih.gov/42571988/</w:t>
      </w:r>
    </w:p>
    <w:p>
      <w:pPr>
        <w:pStyle w:val="Heading1"/>
      </w:pPr>
      <w:r>
        <w:t>Aufgenommen am 08.10.2026</w:t>
      </w:r>
    </w:p>
    <w:p>
      <w:pPr>
        <w:pStyle w:val="Heading2"/>
      </w:pPr>
      <w:r>
        <w:t>Präoperative Versorgungspfade für Patienten mit Mehrfacherkrankungen: kaum spezialisierte Programme vorhanden</w:t>
      </w:r>
    </w:p>
    <w:p>
      <w:r>
        <w:rPr>
          <w:i/>
          <w:color w:val="666666"/>
          <w:sz w:val="18"/>
        </w:rPr>
        <w:t>Mikula-Noble NM et al.  ·  BMJ Open  ·  07.10.2026  ·  PMID 42843878</w:t>
      </w:r>
    </w:p>
    <w:p>
      <w:r>
        <w:t>Systematische Übersicht über präoperative Interventionen für Patienten mit Mehrfacherkrankungen vor großen Operationen – Suche nach spezifischen Programmen für diese Hochrisikogruppe.</w:t>
      </w:r>
    </w:p>
    <w:p>
      <w:r>
        <w:rPr>
          <w:b/>
        </w:rPr>
        <w:t xml:space="preserve">Ergebnis: </w:t>
      </w:r>
      <w:r>
        <w:t>Von 138 Studien mit Mehrfacherkrankungskohorten wurden 34 eingeschlossen: nur 6 (18 %) diskutierten Interventionen für gemischte Kohorten, nur 3 (9 %) berichteten über allgemeine chirurgische Interventionen bei Mehrfacherkrankten. Es existieren praktisch keine auf Mehrfacherkrankung zugeschnittenen präoperativen Programme.</w:t>
      </w:r>
    </w:p>
    <w:p>
      <w:r>
        <w:rPr>
          <w:b/>
          <w:sz w:val="19"/>
        </w:rPr>
        <w:t xml:space="preserve">Übertragbarkeit: </w:t>
      </w:r>
      <w:r>
        <w:rPr>
          <w:sz w:val="19"/>
        </w:rPr>
        <w:t>Großbritannien – vergleichbare perioperative Strukturen und Dokumentation, Problem der fehlenden Spezialisierung übertragbar.</w:t>
      </w:r>
    </w:p>
    <w:p>
      <w:r>
        <w:rPr>
          <w:color w:val="5A7D3A"/>
          <w:sz w:val="18"/>
        </w:rPr>
        <w:t>https://pubmed.ncbi.nlm.nih.gov/42843878/</w:t>
      </w:r>
    </w:p>
    <w:p>
      <w:pPr>
        <w:pStyle w:val="Heading2"/>
      </w:pPr>
      <w:r>
        <w:t>Insulinresistenz sagte Hepatokarzinom bei viruskontrollierter Hepatitis B voraus</w:t>
      </w:r>
    </w:p>
    <w:p>
      <w:r>
        <w:rPr>
          <w:i/>
          <w:color w:val="666666"/>
          <w:sz w:val="18"/>
        </w:rPr>
        <w:t>Sinn DH et al.  ·  J Korean Med Sci  ·  05.10.2026  ·  PMID 42843350</w:t>
      </w:r>
    </w:p>
    <w:p>
      <w:r>
        <w:t>Prospektive Multizenterstudie an 334 HBV-Zirrhose-Patienten unter antiviraler Therapie zur Prognosevalenz der Insulinresistenz (HOMA2-IR) für HCC-Entwicklung.</w:t>
      </w:r>
    </w:p>
    <w:p>
      <w:r>
        <w:rPr>
          <w:b/>
        </w:rPr>
        <w:t xml:space="preserve">Ergebnis: </w:t>
      </w:r>
      <w:r>
        <w:t>Bei Median-Nachbeobachtung von 7,45 Jahren entwickelten 62 Patienten (18,6 %) HCC. Jede HOMA2-IR-Einheitssteigerung korrelierte mit erhöhtem HCC-Risiko (HR 1,53; 95 % KI 1,16–2,04). Patienten mit HOMA2-IR ≥ 2,3 hatten 5-Jahres-HCC-Inzidenz von 30,6 % versus 12,3 % bei HOMA2-IR &lt; 2,3 (adjustierte HR 2,62; 95 % KI 1,40–4,91).</w:t>
      </w:r>
    </w:p>
    <w:p>
      <w:r>
        <w:rPr>
          <w:b/>
          <w:sz w:val="19"/>
        </w:rPr>
        <w:t xml:space="preserve">Übertragbarkeit: </w:t>
      </w:r>
      <w:r>
        <w:rPr>
          <w:sz w:val="19"/>
        </w:rPr>
        <w:t>Südkorea – Multizenterstudie; Biomarker unabhängig vom Gesundheitssystem; aber HCC-Screening-Algorithmen regional unterschiedlich.</w:t>
      </w:r>
    </w:p>
    <w:p>
      <w:r>
        <w:rPr>
          <w:color w:val="5A7D3A"/>
          <w:sz w:val="18"/>
        </w:rPr>
        <w:t>https://pubmed.ncbi.nlm.nih.gov/42843350/</w:t>
      </w:r>
    </w:p>
    <w:p>
      <w:pPr>
        <w:pStyle w:val="Heading2"/>
      </w:pPr>
      <w:r>
        <w:t>Integrierte Atemwegsversorgung in Irland: Hausärzte berichten Chancen und Lücken</w:t>
      </w:r>
    </w:p>
    <w:p>
      <w:r>
        <w:rPr>
          <w:i/>
          <w:color w:val="666666"/>
          <w:sz w:val="18"/>
        </w:rPr>
        <w:t>O'Brien H et al.  ·  Prim Health Care Res Dev  ·  07.10.2026  ·  PMID 42839305</w:t>
      </w:r>
    </w:p>
    <w:p>
      <w:r>
        <w:t>Qualitative Befragung von 112 Hausärzten zur Umsetzung eines neuen Disease-Management-Programms für COPD und Asthma mit lokalen Fachteams in Irland.</w:t>
      </w:r>
    </w:p>
    <w:p>
      <w:r>
        <w:rPr>
          <w:b/>
        </w:rPr>
        <w:t xml:space="preserve">Ergebnis: </w:t>
      </w:r>
      <w:r>
        <w:t>87 % bewerteten integrierte Care-Hubs als gut bis ausgezeichnet und 84 % als überlegen gegenüber Krankenhausambulanzen, doch 52 % berichteten unzureichende Diagnostik, 45 % verzögerte Rückmeldungen und 50 % mangelnde Spezialunterstützung. Selbstberichtete Sicherheit in Leitlinienwissen moderat (7/10 für beide Erkrankungen), sehr niedrig bei Lungenfunktionstests (3/10).</w:t>
      </w:r>
    </w:p>
    <w:p>
      <w:r>
        <w:rPr>
          <w:b/>
          <w:sz w:val="19"/>
        </w:rPr>
        <w:t xml:space="preserve">Übertragbarkeit: </w:t>
      </w:r>
      <w:r>
        <w:rPr>
          <w:sz w:val="19"/>
        </w:rPr>
        <w:t>Irland – comparable Primarversorgung, ähnliche NHS-Finanzierung, jedoch spezifische Koordinationsstruktur.</w:t>
      </w:r>
    </w:p>
    <w:p>
      <w:r>
        <w:rPr>
          <w:color w:val="5A7D3A"/>
          <w:sz w:val="18"/>
        </w:rPr>
        <w:t>https://pubmed.ncbi.nlm.nih.gov/42839305/</w:t>
      </w:r>
    </w:p>
    <w:p>
      <w:pPr>
        <w:pStyle w:val="Heading2"/>
      </w:pPr>
      <w:r>
        <w:t>Dupilumab reduzierte Exazerbationen bei COPD mit Typ-2-Entzündung um 70 Prozent</w:t>
      </w:r>
    </w:p>
    <w:p>
      <w:r>
        <w:rPr>
          <w:i/>
          <w:color w:val="666666"/>
          <w:sz w:val="18"/>
        </w:rPr>
        <w:t>Abdo M et al.  ·  Respir Res  ·  06.10.2026  ·  PMID 42839285</w:t>
      </w:r>
    </w:p>
    <w:p>
      <w:r>
        <w:t>Multizentrische Analyse deutscher Kliniken zur Wirksamkeit von Dupilumab bei COPD-Patienten mit Typ-2-Entzündung unter Routinebedingungen.</w:t>
      </w:r>
    </w:p>
    <w:p>
      <w:r>
        <w:rPr>
          <w:b/>
        </w:rPr>
        <w:t xml:space="preserve">Ergebnis: </w:t>
      </w:r>
      <w:r>
        <w:t>Bei 99 Patienten sank die annualisierte Rate moderater bis schwerer Exazerbationen von 3,52 auf 1,04 pro Jahr (70 % Reduktion), der CAT-Score verbesserte sich um 4,5 Punkte, konsistent über Subgruppen hinweg. 8 Patienten zeigten keine Reduktion unter Behandlung.</w:t>
      </w:r>
    </w:p>
    <w:p>
      <w:r>
        <w:rPr>
          <w:b/>
          <w:sz w:val="19"/>
        </w:rPr>
        <w:t xml:space="preserve">Übertragbarkeit: </w:t>
      </w:r>
      <w:r>
        <w:rPr>
          <w:sz w:val="19"/>
        </w:rPr>
        <w:t>Deutsche Klinikdaten, vergleichbare Dokumentationspflichten und Versorgungsstruktur.</w:t>
      </w:r>
    </w:p>
    <w:p>
      <w:r>
        <w:rPr>
          <w:color w:val="5A7D3A"/>
          <w:sz w:val="18"/>
        </w:rPr>
        <w:t>https://pubmed.ncbi.nlm.nih.gov/42839285/</w:t>
      </w:r>
    </w:p>
    <w:p>
      <w:pPr>
        <w:pStyle w:val="Heading2"/>
      </w:pPr>
      <w:r>
        <w:t>Anhaltende Symptombelastung bei Lupus erythematodes: ein klinischer Phänotyp ähnlich ME/CFS identifiziert</w:t>
      </w:r>
    </w:p>
    <w:p>
      <w:r>
        <w:rPr>
          <w:i/>
          <w:color w:val="666666"/>
          <w:sz w:val="18"/>
        </w:rPr>
        <w:t>Habermann-Horstmeier L  ·  J Transl Med  ·  25.09.2026  ·  PMID 42806386</w:t>
      </w:r>
    </w:p>
    <w:p>
      <w:r>
        <w:t>Hypothesengenerierendes Rahmenwerk zur Charakterisierung einer Untergruppe von Patienten mit langjährigem systemischem Lupus erythematodes, die trotz niedriger Krankheitsaktivität persistierende Müdigkeit, Funktionsbeeinträchtigung und kognititive Symptome aufweisen.</w:t>
      </w:r>
    </w:p>
    <w:p>
      <w:r>
        <w:rPr>
          <w:b/>
        </w:rPr>
        <w:t xml:space="preserve">Ergebnis: </w:t>
      </w:r>
      <w:r>
        <w:t>Vorgeschlagene SLE-ME/CFS-Forschungsphänotyp kombiniert persistierende funktionslimitierende Symptome trotz Remission oder niedriger Aktivität mit Müdigkeit seit mindestens 6 Monaten, postexertioneller Symptomverschlechterung, unerquicklichem Schlaf und kognitiven Symptomen. Evidenz unterstützt Beteiligung residualer Immunaktivierung, oxidativen Stresses, Mitochondrienstörungen und Endotheldysfunktion.</w:t>
      </w:r>
    </w:p>
    <w:p>
      <w:r>
        <w:rPr>
          <w:b/>
          <w:sz w:val="19"/>
        </w:rPr>
        <w:t xml:space="preserve">Übertragbarkeit: </w:t>
      </w:r>
      <w:r>
        <w:rPr>
          <w:sz w:val="19"/>
        </w:rPr>
        <w:t>Deutschland – Literaturanalyse, Konzeptentwicklung; Validierung in Kohortenstudien notwendig, aber Phänotypisierung für Versorgung relevant.</w:t>
      </w:r>
    </w:p>
    <w:p>
      <w:r>
        <w:rPr>
          <w:color w:val="5A7D3A"/>
          <w:sz w:val="18"/>
        </w:rPr>
        <w:t>https://pubmed.ncbi.nlm.nih.gov/42806386/</w:t>
      </w:r>
    </w:p>
    <w:p>
      <w:pPr>
        <w:pStyle w:val="Heading2"/>
      </w:pPr>
      <w:r>
        <w:t>Kollagen-Abbau-Biomarker im Urin erfasst Fibrose über Organgrenzen hinweg</w:t>
      </w:r>
    </w:p>
    <w:p>
      <w:r>
        <w:rPr>
          <w:i/>
          <w:color w:val="666666"/>
          <w:sz w:val="18"/>
        </w:rPr>
        <w:t>Mina IK et al.  ·  Mol Med  ·  23.09.2026  ·  PMID 42778889</w:t>
      </w:r>
    </w:p>
    <w:p>
      <w:r>
        <w:t>Multikohorten-Proteomik-Studie zur Identifikation eines gemeinsamen Signatures von Kollagen-Typ-I-Abbau-Peptiden im Urin, das Leberfibrose, chronische Nierenerkrankung und Herzinsuffizienz charakterisiert.</w:t>
      </w:r>
    </w:p>
    <w:p>
      <w:r>
        <w:rPr>
          <w:b/>
        </w:rPr>
        <w:t xml:space="preserve">Ergebnis: </w:t>
      </w:r>
      <w:r>
        <w:t>50 Kollagen-Typ-I-Abbau-Produkte definierten eine gemeinsame Fibrose-Signatur; Support-Vector-Machine-Modell erreichte AUC 0,935 (95 % KI 0,917–0,953) in externer Validierung über gepoolte Erkrankungsgruppen, erhalten für Leber (AUC 0,917), Niere (0,951) und Herz (0,950). Modellwerte korrelierten mit Fibrosestadium in Leber und interstitieller Fibrose in Niere.</w:t>
      </w:r>
    </w:p>
    <w:p>
      <w:r>
        <w:rPr>
          <w:b/>
          <w:sz w:val="19"/>
        </w:rPr>
        <w:t xml:space="preserve">Übertragbarkeit: </w:t>
      </w:r>
      <w:r>
        <w:rPr>
          <w:sz w:val="19"/>
        </w:rPr>
        <w:t>Multinationale europäische und britische Kohorten, Urindiagnostik universell verfügbar; Fibrose-Screening unabhängig vom Organ übertragbar.</w:t>
      </w:r>
    </w:p>
    <w:p>
      <w:r>
        <w:rPr>
          <w:color w:val="5A7D3A"/>
          <w:sz w:val="18"/>
        </w:rPr>
        <w:t>https://pubmed.ncbi.nlm.nih.gov/42778889/</w:t>
      </w:r>
    </w:p>
    <w:p>
      <w:pPr>
        <w:pStyle w:val="Heading1"/>
      </w:pPr>
      <w:r>
        <w:t>Aufgenommen am 07.10.2026</w:t>
      </w:r>
    </w:p>
    <w:p>
      <w:pPr>
        <w:pStyle w:val="Heading2"/>
      </w:pPr>
      <w:r>
        <w:t>Chronische Nierenkrankheit in der Tertiärversorgung: Screening deckt Unterbehandlung auf</w:t>
      </w:r>
    </w:p>
    <w:p>
      <w:r>
        <w:rPr>
          <w:i/>
          <w:color w:val="666666"/>
          <w:sz w:val="18"/>
        </w:rPr>
        <w:t>Zahradka I et al.  ·  BMJ Open  ·  06.10.2026  ·  PMID 42838586</w:t>
      </w:r>
    </w:p>
    <w:p>
      <w:r>
        <w:t>Querschnittstudie an 2.903 Patienten in Tertiärkliniken Mitteleuropas zur Prävalenz chronischer Nierenkrankheit (CKD) und Nutzung renoprotek­tiver Therapien.</w:t>
      </w:r>
    </w:p>
    <w:p>
      <w:r>
        <w:rPr>
          <w:b/>
        </w:rPr>
        <w:t xml:space="preserve">Ergebnis: </w:t>
      </w:r>
      <w:r>
        <w:t>CKD-Prävalenz 32,5 %; eine neue Diagnose pro 5,2 Gescreente. Renoprotek­tive Therapie stark untergenutzt: SGLT2-Inhibitoren 42 %, GLP-1-Rezeptoragonisten 41,7 %, nichtsteroidale Mineralokortikoidrezeptorantagonisten 6,7 % der Berechtigten. Modellierte Gewinnchancen dialysefreier Zeit durch Therapieeinleitung: 11,13 Monate pro Patient im Durchschnitt.</w:t>
      </w:r>
    </w:p>
    <w:p>
      <w:r>
        <w:rPr>
          <w:b/>
          <w:sz w:val="19"/>
        </w:rPr>
        <w:t xml:space="preserve">Übertragbarkeit: </w:t>
      </w:r>
      <w:r>
        <w:rPr>
          <w:sz w:val="19"/>
        </w:rPr>
        <w:t>Tertiärzentrumsdaten; Übertragbarkeit auf spezialisierte Versorgung in Deutschland eingeschränkt</w:t>
      </w:r>
    </w:p>
    <w:p>
      <w:r>
        <w:rPr>
          <w:color w:val="5A7D3A"/>
          <w:sz w:val="18"/>
        </w:rPr>
        <w:t>https://pubmed.ncbi.nlm.nih.gov/42838586/</w:t>
      </w:r>
    </w:p>
    <w:p>
      <w:pPr>
        <w:pStyle w:val="Heading2"/>
      </w:pPr>
      <w:r>
        <w:t>Begrenzte antivirale Therapie der chronischen Hepatitis B: Mehr HBsAg-Verlust, aber häufige Rückfälle</w:t>
      </w:r>
    </w:p>
    <w:p>
      <w:r>
        <w:rPr>
          <w:i/>
          <w:color w:val="666666"/>
          <w:sz w:val="18"/>
        </w:rPr>
        <w:t>Gomez DP et al.  ·  J Viral Hepat  ·  Nov. 2026  ·  PMID 42834661</w:t>
      </w:r>
    </w:p>
    <w:p>
      <w:r>
        <w:t>Meta-Analyse von 4 randomisierten Studien (n=357) zu endlicher versus unbegrenzter Nukleosid(t)id-Therapie bei HBeAg-negativer chronischer Hepatitis B ohne Zirrhose.</w:t>
      </w:r>
    </w:p>
    <w:p>
      <w:r>
        <w:rPr>
          <w:b/>
        </w:rPr>
        <w:t xml:space="preserve">Ergebnis: </w:t>
      </w:r>
      <w:r>
        <w:t>Therapiebeendigung erhöhte HBsAg-Verlust (RR 5,02; KI 0,47–53,47, niedrige Evidenzsicherheit), aber markant virales Rezidiv (RR 23,09) und Therapierückfall (RR 21,94). Keine hepatische Dekompensation oder schwere unerwünschte Ereignisse. Strategie für selektierte, gut überwachte Patienten in Expertenzentren.</w:t>
      </w:r>
    </w:p>
    <w:p>
      <w:r>
        <w:rPr>
          <w:b/>
          <w:sz w:val="19"/>
        </w:rPr>
        <w:t xml:space="preserve">Übertragbarkeit: </w:t>
      </w:r>
      <w:r>
        <w:rPr>
          <w:sz w:val="19"/>
        </w:rPr>
        <w:t>Internationale RCT-Daten; Übertragbarkeit auf deutsches Versicherungssystem hoch</w:t>
      </w:r>
    </w:p>
    <w:p>
      <w:r>
        <w:rPr>
          <w:color w:val="5A7D3A"/>
          <w:sz w:val="18"/>
        </w:rPr>
        <w:t>https://pubmed.ncbi.nlm.nih.gov/42834661/</w:t>
      </w:r>
    </w:p>
    <w:p>
      <w:pPr>
        <w:pStyle w:val="Heading2"/>
      </w:pPr>
      <w:r>
        <w:t>Direktwirkende Antivirale bei Hepatitis C und Leberkrebs: Hohe Heilungsraten, erhaltene Leberfunktion</w:t>
      </w:r>
    </w:p>
    <w:p>
      <w:r>
        <w:rPr>
          <w:i/>
          <w:color w:val="666666"/>
          <w:sz w:val="18"/>
        </w:rPr>
        <w:t>Sato S et al.  ·  J Viral Hepat  ·  Nov. 2026  ·  PMID 42834589</w:t>
      </w:r>
    </w:p>
    <w:p>
      <w:r>
        <w:t>Retrospektive Kohortenstudie (n=690) zu Wirksamkeit und Leberfunktion nach direktwirkender antiviraler Therapie bei Hepatitis-C-Patienten mit und ohne Leberkrebs (HCC)-Vorgeschichte.</w:t>
      </w:r>
    </w:p>
    <w:p>
      <w:r>
        <w:rPr>
          <w:b/>
        </w:rPr>
        <w:t xml:space="preserve">Ergebnis: </w:t>
      </w:r>
      <w:r>
        <w:t>Gesamte SVR12-Rate 96,1 % über alle Gruppen, unabhängig von HCC-Vorgeschichte. ALBI-Score (Leberfunktion) verbesserte sich bei kurativer HCC-Behandlung (−2,35 zu −2,58, p&lt;0,001), blieb unter nicht-kurativer Behandlung stabil. Bei HCC-Rezidiv ALBI-Score verbessert (−2,31 zu −2,57, p&lt;0,001); &gt;90 % blieben Child-Pugh A.</w:t>
      </w:r>
    </w:p>
    <w:p>
      <w:r>
        <w:rPr>
          <w:b/>
          <w:sz w:val="19"/>
        </w:rPr>
        <w:t xml:space="preserve">Übertragbarkeit: </w:t>
      </w:r>
      <w:r>
        <w:rPr>
          <w:sz w:val="19"/>
        </w:rPr>
        <w:t>Japanisches Zentrum; Leberfunktionsergebnisse international vergleichbar</w:t>
      </w:r>
    </w:p>
    <w:p>
      <w:r>
        <w:rPr>
          <w:color w:val="5A7D3A"/>
          <w:sz w:val="18"/>
        </w:rPr>
        <w:t>https://pubmed.ncbi.nlm.nih.gov/42834589/</w:t>
      </w:r>
    </w:p>
    <w:p>
      <w:pPr>
        <w:pStyle w:val="Heading2"/>
      </w:pPr>
      <w:r>
        <w:t>Lebensqualität bei chronischer Nierenkrankheit: Bildungsstand und Einkommen entscheidend</w:t>
      </w:r>
    </w:p>
    <w:p>
      <w:r>
        <w:rPr>
          <w:i/>
          <w:color w:val="666666"/>
          <w:sz w:val="18"/>
        </w:rPr>
        <w:t>Akter F et al.  ·  BMJ Open  ·  05.10.2026  ·  PMID 42833721</w:t>
      </w:r>
    </w:p>
    <w:p>
      <w:r>
        <w:t>Querschnittstudie (n=315) in Bangladesch zur Identifikation von Profilen der gesundheitsbezogenen Lebensqualität bei CKD mittels latenter Profilanalyse und deren Prädiktoren.</w:t>
      </w:r>
    </w:p>
    <w:p>
      <w:r>
        <w:rPr>
          <w:b/>
        </w:rPr>
        <w:t xml:space="preserve">Ergebnis: </w:t>
      </w:r>
      <w:r>
        <w:t>Drei Qualitäts-Profile: niedrig (20,95 %), mittel (34,29 %), hoch (44,76 %). Höheres Einkommen und Bildung senken Risiko niedriger Lebensqualität; verheiratet und weniger Komorbiditäten erhöhen Wahrscheinlichkeit hoher Lebensqualität. Signifikante Prädiktoren: Einkommen, Bildung, Familienstand, Komorbiditätenanzahl (alle p&lt;0,05).</w:t>
      </w:r>
    </w:p>
    <w:p>
      <w:r>
        <w:rPr>
          <w:b/>
          <w:sz w:val="19"/>
        </w:rPr>
        <w:t xml:space="preserve">Übertragbarkeit: </w:t>
      </w:r>
      <w:r>
        <w:rPr>
          <w:sz w:val="19"/>
        </w:rPr>
        <w:t>Low-Resource-Setting; Patient-reported Outcomes-Methodik international anwendbar</w:t>
      </w:r>
    </w:p>
    <w:p>
      <w:r>
        <w:rPr>
          <w:color w:val="5A7D3A"/>
          <w:sz w:val="18"/>
        </w:rPr>
        <w:t>https://pubmed.ncbi.nlm.nih.gov/42833721/</w:t>
      </w:r>
    </w:p>
    <w:p>
      <w:pPr>
        <w:pStyle w:val="Heading2"/>
      </w:pPr>
      <w:r>
        <w:t>Verlängerte Fastenpausen beschleunigen Multimorbidität bei älteren Erwachsenen</w:t>
      </w:r>
    </w:p>
    <w:p>
      <w:r>
        <w:rPr>
          <w:i/>
          <w:color w:val="666666"/>
          <w:sz w:val="18"/>
        </w:rPr>
        <w:t>Kalmbach L et al.  ·  J Intern Med  ·  20.08.2026  ·  PMID 42621849</w:t>
      </w:r>
    </w:p>
    <w:p>
      <w:r>
        <w:t>Längskohorte (n=2.981, ≥60 Jahre) mit 15-jähriger Nachverfolgung zum Zusammenhang zwischen habitueller Fastendauer (längste Essenspause in 24h) und Akkumulation chronischer Erkrankungen.</w:t>
      </w:r>
    </w:p>
    <w:p>
      <w:r>
        <w:rPr>
          <w:b/>
        </w:rPr>
        <w:t xml:space="preserve">Ergebnis: </w:t>
      </w:r>
      <w:r>
        <w:t>Gegenüber kürzesten Fastenpausen (6–11,5 h) zeigten längste Pausen (14–24 h) steilere jährliche Zunahme Gesamtkrankheiten (β=0,119; KI 0,070–0,167), kardiovaskuläre (0,022; KI 0,006–0,038) und neuropsychiatrische Erkrankungen (0,019; KI 0,005–0,033). Effekt nur bei ≥78 Jahren signifikant (β=0,099; KI 0,031–0,168), nicht bei &lt;78 Jahren.</w:t>
      </w:r>
    </w:p>
    <w:p>
      <w:r>
        <w:rPr>
          <w:b/>
          <w:sz w:val="19"/>
        </w:rPr>
        <w:t xml:space="preserve">Übertragbarkeit: </w:t>
      </w:r>
      <w:r>
        <w:rPr>
          <w:sz w:val="19"/>
        </w:rPr>
        <w:t>Schwedische Bevölkerungskohorte; Altersgruppen übertragbar auf deutsche Versorgung</w:t>
      </w:r>
    </w:p>
    <w:p>
      <w:r>
        <w:rPr>
          <w:color w:val="5A7D3A"/>
          <w:sz w:val="18"/>
        </w:rPr>
        <w:t>https://pubmed.ncbi.nlm.nih.gov/42621849/</w:t>
      </w:r>
    </w:p>
    <w:p>
      <w:pPr>
        <w:pStyle w:val="Heading1"/>
      </w:pPr>
      <w:r>
        <w:t>Aufgenommen am 06.10.2026</w:t>
      </w:r>
    </w:p>
    <w:p>
      <w:pPr>
        <w:pStyle w:val="Heading2"/>
      </w:pPr>
      <w:r>
        <w:t>Hausarztpraxen für Flüchtlinge mit Hepatitis B besser geeignet als Spezialkliniken</w:t>
      </w:r>
    </w:p>
    <w:p>
      <w:r>
        <w:rPr>
          <w:i/>
          <w:color w:val="666666"/>
          <w:sz w:val="18"/>
        </w:rPr>
        <w:t>Fakhouri A et al.  ·  Aust J Prim Health  ·  20.10.2026  ·  PMID 42833621</w:t>
      </w:r>
    </w:p>
    <w:p>
      <w:r>
        <w:t>Qualitative australische Studie (15 semi-strukturierte Interviews): Erkundung, wie Hausarztpraxen für Flüchtlinge chronische Hepatitis-B-Versorgung gestalten und wo Verbesserungen nötig sind.</w:t>
      </w:r>
    </w:p>
    <w:p>
      <w:r>
        <w:rPr>
          <w:b/>
        </w:rPr>
        <w:t xml:space="preserve">Ergebnis: </w:t>
      </w:r>
      <w:r>
        <w:t>Hausarztpraxen bieten Vorteile: Comunity-Integration, Rapport, Dolmetscher-Services. Barrieren sind Gesundheitskompetenz und Kosten. Empfehlung: Finanzierung und Schulung von Hausarztpraxen zur HBV-Versorgung würden bessere Ergebnisse für vulnerable Bevölkerung bringen.</w:t>
      </w:r>
    </w:p>
    <w:p>
      <w:r>
        <w:rPr>
          <w:b/>
          <w:sz w:val="19"/>
        </w:rPr>
        <w:t xml:space="preserve">Übertragbarkeit: </w:t>
      </w:r>
      <w:r>
        <w:rPr>
          <w:sz w:val="19"/>
        </w:rPr>
        <w:t>Australien - hohes Einkommen, andere Struktur, aber Ungleichheitsfrage universell</w:t>
      </w:r>
    </w:p>
    <w:p>
      <w:r>
        <w:rPr>
          <w:color w:val="5A7D3A"/>
          <w:sz w:val="18"/>
        </w:rPr>
        <w:t>https://pubmed.ncbi.nlm.nih.gov/42833621/</w:t>
      </w:r>
    </w:p>
    <w:p>
      <w:pPr>
        <w:pStyle w:val="Heading2"/>
      </w:pPr>
      <w:r>
        <w:t>Ein Viertel der COPD-Patienten hat Exazerbationen trotz Doppel- oder Tripeltherapie</w:t>
      </w:r>
    </w:p>
    <w:p>
      <w:r>
        <w:rPr>
          <w:i/>
          <w:color w:val="666666"/>
          <w:sz w:val="18"/>
        </w:rPr>
        <w:t>Radovanovic D et al.  ·  Int J Chron Obstruct Pulmon Dis  ·  30.09.2026  ·  PMID 42831088</w:t>
      </w:r>
    </w:p>
    <w:p>
      <w:r>
        <w:t>Italienische GULP-Kohorte (1.111 COPD-Patienten): Exploratorische Analyse zur Häufigkeit anhaltender Symptome unter optimaler Erhaltungstherapie und Identifikation von Kandidaten für Biologika.</w:t>
      </w:r>
    </w:p>
    <w:p>
      <w:r>
        <w:rPr>
          <w:b/>
        </w:rPr>
        <w:t xml:space="preserve">Ergebnis: </w:t>
      </w:r>
      <w:r>
        <w:t>Von 1.111 Patienten hatten 286 (25,7%) ≥2 moderate oder ≥1 schwere Exazerbation/Jahr trotz Doppel- oder Tripeltherapie. Davon zeigten 51–75% hohe Symptombelastung (Dyspnoe, Husten, Sputum), nur 7,2% eosinophile COPD. Dupilumab in Italien für eosinophile exazerbierende COPD zugelassen.</w:t>
      </w:r>
    </w:p>
    <w:p>
      <w:r>
        <w:rPr>
          <w:b/>
          <w:sz w:val="19"/>
        </w:rPr>
        <w:t xml:space="preserve">Übertragbarkeit: </w:t>
      </w:r>
      <w:r>
        <w:rPr>
          <w:sz w:val="19"/>
        </w:rPr>
        <w:t>Italien, europäisches Sozialversicherungssystem, vergleichbare DMP-Struktur</w:t>
      </w:r>
    </w:p>
    <w:p>
      <w:r>
        <w:rPr>
          <w:color w:val="5A7D3A"/>
          <w:sz w:val="18"/>
        </w:rPr>
        <w:t>https://pubmed.ncbi.nlm.nih.gov/42831088/</w:t>
      </w:r>
    </w:p>
    <w:p>
      <w:pPr>
        <w:pStyle w:val="Heading2"/>
      </w:pPr>
      <w:r>
        <w:t>Schwere Fettleber assoziiert mit Fibrose bei chronischer Hepatitis B in Afrika</w:t>
      </w:r>
    </w:p>
    <w:p>
      <w:r>
        <w:rPr>
          <w:i/>
          <w:color w:val="666666"/>
          <w:sz w:val="18"/>
        </w:rPr>
        <w:t>Chabala FW et al.  ·  J Viral Hepat  ·  Nov. 2026  ·  PMID 42830592</w:t>
      </w:r>
    </w:p>
    <w:p>
      <w:r>
        <w:t>Multiländer-Studie (HEPSANET) mit 1.601 CHB-Patienten in sechs afrikanischen Ländern: Transiente Elastographie zeigte, dass schwere Steatose unabhängig mit erhöhtem Fibrose-Risiko verbunden war.</w:t>
      </w:r>
    </w:p>
    <w:p>
      <w:r>
        <w:rPr>
          <w:b/>
        </w:rPr>
        <w:t xml:space="preserve">Ergebnis: </w:t>
      </w:r>
      <w:r>
        <w:t>Schwere Steatose (CAP ≥280 dB/m) war mit 8,4% erhöhter Fibrose-Wahrscheinlichkeit assoziiert (95%-KI 1,9-14,9%). Milde und moderate Steatose zeigten diese Assoziation nicht. Prävalenz von Fettleber: 26,3%, davon 13,7% schwer.</w:t>
      </w:r>
    </w:p>
    <w:p>
      <w:r>
        <w:rPr>
          <w:b/>
          <w:sz w:val="19"/>
        </w:rPr>
        <w:t xml:space="preserve">Übertragbarkeit: </w:t>
      </w:r>
      <w:r>
        <w:rPr>
          <w:sz w:val="19"/>
        </w:rPr>
        <w:t>Afrika, andere Soziostruktur - Screening-Implikation übertragbar</w:t>
      </w:r>
    </w:p>
    <w:p>
      <w:r>
        <w:rPr>
          <w:color w:val="5A7D3A"/>
          <w:sz w:val="18"/>
        </w:rPr>
        <w:t>https://pubmed.ncbi.nlm.nih.gov/42830592/</w:t>
      </w:r>
    </w:p>
    <w:p>
      <w:pPr>
        <w:pStyle w:val="Heading2"/>
      </w:pPr>
      <w:r>
        <w:t>Bewegung reduzierte Mortalität und Leberversagen bei chronischer Hepatitis B um 11 Prozent</w:t>
      </w:r>
    </w:p>
    <w:p>
      <w:r>
        <w:rPr>
          <w:i/>
          <w:color w:val="666666"/>
          <w:sz w:val="18"/>
        </w:rPr>
        <w:t>Song BG et al.  ·  J Viral Hepat  ·  Nov. 2026  ·  PMID 42830566</w:t>
      </w:r>
    </w:p>
    <w:p>
      <w:r>
        <w:t>Südkoreanische Kohortenstudie mit 318.131 CHB-Patienten: Wer körperliche Aktivität aufnahm, hatte niedrigere Risiken für Tod und Komplikationen als körperlich Inaktive.</w:t>
      </w:r>
    </w:p>
    <w:p>
      <w:r>
        <w:rPr>
          <w:b/>
        </w:rPr>
        <w:t xml:space="preserve">Ergebnis: </w:t>
      </w:r>
      <w:r>
        <w:t>Hazard Ratio für Mortalität 0,89 (95%-KI 0,84-0,94) bei Aufnahme von Ausdaueraktivität; für Leberversagen subdistribution HR 0,94 (95%-KI 0,92-0,97) über 7,9 Jahre Nachfolge. Der Effekt war stärker in älteren, weiblichen und nicht-rauchenden Patienten.</w:t>
      </w:r>
    </w:p>
    <w:p>
      <w:r>
        <w:rPr>
          <w:b/>
          <w:sz w:val="19"/>
        </w:rPr>
        <w:t xml:space="preserve">Übertragbarkeit: </w:t>
      </w:r>
      <w:r>
        <w:rPr>
          <w:sz w:val="19"/>
        </w:rPr>
        <w:t>Südkorea - vergleichbares Gesundheitssystem, Versicherungsdaten hochwertig</w:t>
      </w:r>
    </w:p>
    <w:p>
      <w:r>
        <w:rPr>
          <w:color w:val="5A7D3A"/>
          <w:sz w:val="18"/>
        </w:rPr>
        <w:t>https://pubmed.ncbi.nlm.nih.gov/42830566/</w:t>
      </w:r>
    </w:p>
    <w:p>
      <w:pPr>
        <w:pStyle w:val="Heading2"/>
      </w:pPr>
      <w:r>
        <w:t>Chronische Erkrankungen bei Kindern: Register unterschätzen Prävalenz um mindestens 10 Prozent</w:t>
      </w:r>
    </w:p>
    <w:p>
      <w:r>
        <w:rPr>
          <w:i/>
          <w:color w:val="666666"/>
          <w:sz w:val="18"/>
        </w:rPr>
        <w:t>Andersen A et al.  ·  Eur J Pediatr  ·  03.10.2026  ·  PMID 42828548</w:t>
      </w:r>
    </w:p>
    <w:p>
      <w:r>
        <w:t>Dänische Studie: Verglich nationale Register mit Selbstberichten auf Prävalenz chronischer Erkrankungen bei Kindern und Jugendlichen; Registerbasierte Methode erfasst nur einen Teil.</w:t>
      </w:r>
    </w:p>
    <w:p>
      <w:r>
        <w:rPr>
          <w:b/>
        </w:rPr>
        <w:t xml:space="preserve">Ergebnis: </w:t>
      </w:r>
      <w:r>
        <w:t>Register zeigten Prävalenz 9,3–22,0% je nach Alter und Geschlecht; Selbstberichte 28,4–34,2%. 14,6–15,3% der Jugendlichen mit selbstberichteter chronischer Erkrankung waren im Alltag beeinträchtigt – im Register nicht sichtbar.</w:t>
      </w:r>
    </w:p>
    <w:p>
      <w:r>
        <w:rPr>
          <w:b/>
          <w:sz w:val="19"/>
        </w:rPr>
        <w:t xml:space="preserve">Übertragbarkeit: </w:t>
      </w:r>
      <w:r>
        <w:rPr>
          <w:sz w:val="19"/>
        </w:rPr>
        <w:t>Dänemark - skandinavisches System, enge Datenbankqualität wie in Deutschland, Methodenfrage universal</w:t>
      </w:r>
    </w:p>
    <w:p>
      <w:r>
        <w:rPr>
          <w:color w:val="5A7D3A"/>
          <w:sz w:val="18"/>
        </w:rPr>
        <w:t>https://pubmed.ncbi.nlm.nih.gov/42828548/</w:t>
      </w:r>
    </w:p>
    <w:p>
      <w:pPr>
        <w:pStyle w:val="Heading2"/>
      </w:pPr>
      <w:r>
        <w:t>Biologika spielen zentrale Rolle in schwerem Asthma, COPD-Klassifikation vereinfacht</w:t>
      </w:r>
    </w:p>
    <w:p>
      <w:r>
        <w:rPr>
          <w:i/>
          <w:color w:val="666666"/>
          <w:sz w:val="18"/>
        </w:rPr>
        <w:t>Salah Manoh JL et al.  ·  Rev Med Suisse  ·  23.09.2026  ·  PMID 42779315</w:t>
      </w:r>
    </w:p>
    <w:p>
      <w:r>
        <w:t>Schweizer Reviewartikel (nicht empirisch): Aktuelle GOLD- und globale Guidelines zur COPD und Asthma – Vereinfachung der COPD-Stratifizierung, erweiterte Rolle von Biologika, geänderte Exazerbationsdefinition.</w:t>
      </w:r>
    </w:p>
    <w:p>
      <w:r>
        <w:rPr>
          <w:b/>
        </w:rPr>
        <w:t xml:space="preserve">Ergebnis: </w:t>
      </w:r>
      <w:r>
        <w:t>COPD wird nun in nur 3 Gruppen eingeteilt (A, B, E); eine einzelne moderate Exazerbation reicht für Hochrisiko-Kategorie E. Asthma: Biologika zentral in schwerer Form, Salbutamol-Monotherapie nicht mehr empfohlen.</w:t>
      </w:r>
    </w:p>
    <w:p>
      <w:r>
        <w:rPr>
          <w:b/>
          <w:sz w:val="19"/>
        </w:rPr>
        <w:t xml:space="preserve">Übertragbarkeit: </w:t>
      </w:r>
      <w:r>
        <w:rPr>
          <w:sz w:val="19"/>
        </w:rPr>
        <w:t>Schweiz, vergleichbares Versicherungssystem, Leitlinien gelten auch in Deutschland</w:t>
      </w:r>
    </w:p>
    <w:p>
      <w:r>
        <w:rPr>
          <w:color w:val="5A7D3A"/>
          <w:sz w:val="18"/>
        </w:rPr>
        <w:t>https://pubmed.ncbi.nlm.nih.gov/42779315/</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2026-10-09T06:00:00Z</dcterms:created>
  <dcterms:modified xsi:type="dcterms:W3CDTF">2026-10-09T06:00:00Z</dcterms:modified>
  <cp:category/>
</cp:coreProperties>
</file>