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24.09.2026  |  6 Studien  |  ncd.m-vf.de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Früher systemischer Lupus erythematosus: Fast-Track zu Mehrfacherkrankung bei hoher Flareaktivität</w:t>
      </w:r>
    </w:p>
    <w:p>
      <w:r>
        <w:rPr>
          <w:i/>
          <w:color w:val="666666"/>
          <w:sz w:val="18"/>
        </w:rPr>
        <w:t>Nikoloudaki M et al.  ·  RMD Open  ·  23.09.2026  ·  PMID 42778333</w:t>
      </w:r>
    </w:p>
    <w:p>
      <w:r>
        <w:t>Inception-Kohorte von 311 SLE-Patienten mit ≤2 Jahren Erkrankungsdauer und 5-jähriger Nachbeobachtung untersuchte Trajektorien der Mehrfacherkrankungsentwicklung und deren Prädiktoren.</w:t>
      </w:r>
    </w:p>
    <w:p>
      <w:r>
        <w:rPr>
          <w:b/>
        </w:rPr>
        <w:t xml:space="preserve">Ergebnis: </w:t>
      </w:r>
      <w:r>
        <w:t>45% der Patienten zeigte accelerierte Mehrfacherkrankungszunahme mit drei Phänotypen: metabolisch-psychiatrisch (65,7% mit ≥2 Erkrankungen) und kardiopulmonal-muskuloskelettal (100%). Schwere Flares (≥20% der Zeit; OR 2,10) und Glukokortikoidexposition (OR 1,06 pro 10 mg/Tag) während der ersten 24 Monate waren unabhängig mit schneller Progression assoziiert. Fast-accruer zeigten weniger Remission und mehr Schäden (IRR 2,28–3,27).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 und Italien, europäische Universitätskliniken, vergleichbare SLE-Versorgungsstandards</w:t>
      </w:r>
    </w:p>
    <w:p>
      <w:r>
        <w:rPr>
          <w:color w:val="5A7D3A"/>
          <w:sz w:val="18"/>
        </w:rPr>
        <w:t>https://pubmed.ncbi.nlm.nih.gov/42778333/</w:t>
      </w:r>
    </w:p>
    <w:p>
      <w:pPr>
        <w:pStyle w:val="Heading2"/>
      </w:pPr>
      <w:r>
        <w:t>CAT-Score-Variabilität vorhersagt COPD-Exazerbationen in virtueller Assistenz-Überwachung</w:t>
      </w:r>
    </w:p>
    <w:p>
      <w:r>
        <w:rPr>
          <w:i/>
          <w:color w:val="666666"/>
          <w:sz w:val="18"/>
        </w:rPr>
        <w:t>Aljama C et al.  ·  Adv Respir Med  ·  07.09.2026  ·  PMID 42776698</w:t>
      </w:r>
    </w:p>
    <w:p>
      <w:r>
        <w:t>Prospektive Beobachtungsstudie mit 106 COPD-Patienten mit Exazerbator-Phänotyp nutzte wöchentliche CAT-Messungen durch virtuellen Assistenten zur Vorhersage von Exazerbationen über ein Jahr.</w:t>
      </w:r>
    </w:p>
    <w:p>
      <w:r>
        <w:rPr>
          <w:b/>
        </w:rPr>
        <w:t xml:space="preserve">Ergebnis: </w:t>
      </w:r>
      <w:r>
        <w:t>73 von 106 Patienten (69%) erlitten ≥1 Exazerbation (192 Episoden, 26% mit Hospitalisierung). Jeder 1-Punkt-Anstieg im CAT-Score war mit 11,1% erhöhtem Exazerbationsrisiko assoziiert (OR 1,11; 95%-KI 1,08–1,13). Wöchentliche Variabilität ≥2 Punkte (MCID) war mit sechsfach erhöhtem Risiko verbunden (OR 6,30; 95%-KI 4,28–9,27). Optimaler Cut-off für CAT-Änderung: 3 Punkte (ROC 0,773).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Spanien/Brasilien, aber App-basiert; Übertragbarkeit auf deutsche Telemedizin-Strukturen bedingt</w:t>
      </w:r>
    </w:p>
    <w:p>
      <w:r>
        <w:rPr>
          <w:color w:val="5A7D3A"/>
          <w:sz w:val="18"/>
        </w:rPr>
        <w:t>https://pubmed.ncbi.nlm.nih.gov/42776698/</w:t>
      </w:r>
    </w:p>
    <w:p>
      <w:pPr>
        <w:pStyle w:val="Heading2"/>
      </w:pPr>
      <w:r>
        <w:t>Netzwerk-Metaanalyse: GLP-1RA, SGLT2i und nsMRA für kardiorenale Outcomes bei Typ-2-Diabetes mit CKD</w:t>
      </w:r>
    </w:p>
    <w:p>
      <w:r>
        <w:rPr>
          <w:i/>
          <w:color w:val="666666"/>
          <w:sz w:val="18"/>
        </w:rPr>
        <w:t>Chen H et al.  ·  Front Endocrinol (Lausanne)  ·  08.09.2026  ·  PMID 42775225</w:t>
      </w:r>
    </w:p>
    <w:p>
      <w:r>
        <w:t>Systematische Übersicht und frequentistische Netzwerk-Metaanalyse von 21 RCTs mit 51.899 Patienten verglich kardiorenale Effektivität und Sicherheit von GLP-1RAs, SGLT2i und nsMRAs.</w:t>
      </w:r>
    </w:p>
    <w:p>
      <w:r>
        <w:rPr>
          <w:b/>
        </w:rPr>
        <w:t xml:space="preserve">Ergebnis: </w:t>
      </w:r>
      <w:r>
        <w:t>Versus Placebo: SGLT2i reduzierten Risiko von MACE, majorem Nieren-Komposit und Herzinsuffizienz-Hospitalisierung; GLP-1RAs reduzierten MACE, Nieren-Komposit, Herzinsuffizienz, Mortalität und kardiovaskulärer Tod; nsMRA reduzierten Nieren-Komposit und Herzinsuffizienz. Indirekte Vergleiche: SGLT2i günstiger für Nieren (RR 0,77 vs GLP-1RA), SGLT2i günstiger für Herzinsuffizienz versus nsMRA. Hyperkalämie mit nsMRA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aber keine deutschen Subgruppen; Übertragbarkeit für DMP-Strukturen hoch</w:t>
      </w:r>
    </w:p>
    <w:p>
      <w:r>
        <w:rPr>
          <w:color w:val="5A7D3A"/>
          <w:sz w:val="18"/>
        </w:rPr>
        <w:t>https://pubmed.ncbi.nlm.nih.gov/42775225/</w:t>
      </w:r>
    </w:p>
    <w:p>
      <w:pPr>
        <w:pStyle w:val="Heading2"/>
      </w:pPr>
      <w:r>
        <w:t>Kindheitliche Benachteiligung erhöht Risiko für Behinderung und Mehrfacherkrankung im Alter</w:t>
      </w:r>
    </w:p>
    <w:p>
      <w:r>
        <w:rPr>
          <w:i/>
          <w:color w:val="666666"/>
          <w:sz w:val="18"/>
        </w:rPr>
        <w:t>Zhou T et al.  ·  Front Public Health  ·  08.09.2026  ·  PMID 42774187</w:t>
      </w:r>
    </w:p>
    <w:p>
      <w:r>
        <w:t>Prospektive Analyse von Daten aus ELSA und SHARE-Kohorten untersuchte, ob Armut und gesundheitliche Belastungen in der Kindheit das Risiko für Behinderung und Mehrfacherkrankung im späteren Leben vorhersagen.</w:t>
      </w:r>
    </w:p>
    <w:p>
      <w:r>
        <w:rPr>
          <w:b/>
        </w:rPr>
        <w:t xml:space="preserve">Ergebnis: </w:t>
      </w:r>
      <w:r>
        <w:t>Höchste Kindheitsadversität war mit erhöhtem Risiko für Aktivitätsbeschränkungen (HR 1,43; 95%-KI 1,09–1,87) und Mehrfacherkrankung (HR 1,35; 95%-KI 1,02–1,80) assoziiert. In SHARE erhöhte sich das Risiko für Aktivitätsbeschränkungen und Mehrfacherkrankung ebenfalls signifikant. Die Befunde zeigen anhaltende Auswirkungen früher Nachteiligung auf die Gesundheit im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und Europa, vergleichbare Langzeitkohortendesigns</w:t>
      </w:r>
    </w:p>
    <w:p>
      <w:r>
        <w:rPr>
          <w:color w:val="5A7D3A"/>
          <w:sz w:val="18"/>
        </w:rPr>
        <w:t>https://pubmed.ncbi.nlm.nih.gov/42774187/</w:t>
      </w:r>
    </w:p>
    <w:p>
      <w:pPr>
        <w:pStyle w:val="Heading2"/>
      </w:pPr>
      <w:r>
        <w:t>Chronische spontane Urtikaria in Finnland: Versorgungslücken in Behandlung und Monitoring</w:t>
      </w:r>
    </w:p>
    <w:p>
      <w:r>
        <w:rPr>
          <w:i/>
          <w:color w:val="666666"/>
          <w:sz w:val="18"/>
        </w:rPr>
        <w:t>Sinikumpu SP et al.  ·  Acta Derm Venereol  ·  22.09.2026  ·  PMID 42770913</w:t>
      </w:r>
    </w:p>
    <w:p>
      <w:r>
        <w:t>Landesweite Registerstudie analysierte Epidemiologie und Behandlungsmuster von chronischer spontaner Urtikaria in finnischen Fachkliniken 2001–2023.</w:t>
      </w:r>
    </w:p>
    <w:p>
      <w:r>
        <w:rPr>
          <w:b/>
        </w:rPr>
        <w:t xml:space="preserve">Ergebnis: </w:t>
      </w:r>
      <w:r>
        <w:t>Unter 8.784 Patienten erhielten 85,8% Antihistaminika und 36,1% benötigten gleichzeitig Kortikosteroide, was auf suboptimale Kontrolle hindeutet. Nur 8,5% erhielten Omalizumab, Median 9 Monate nach Antihistamininitiation. Hochkomorbidität mit Asthma, Hypertonie und Depression. Die Befunde deuten auf Verzögerungen in der Eskalation zur biologischen Therapie und mangelnde Krankheitskontrolle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nordisches Gesundheitssystem, vergleichbare Vergütungsstrukturen</w:t>
      </w:r>
    </w:p>
    <w:p>
      <w:r>
        <w:rPr>
          <w:color w:val="5A7D3A"/>
          <w:sz w:val="18"/>
        </w:rPr>
        <w:t>https://pubmed.ncbi.nlm.nih.gov/42770913/</w:t>
      </w:r>
    </w:p>
    <w:p>
      <w:pPr>
        <w:pStyle w:val="Heading2"/>
      </w:pPr>
      <w:r>
        <w:t>Rehabilitation bei älteren Patienten mit COPD und Post-COVID-Syndrom in Kirgistan zeigte Unterschiede nach Region</w:t>
      </w:r>
    </w:p>
    <w:p>
      <w:r>
        <w:rPr>
          <w:i/>
          <w:color w:val="666666"/>
          <w:sz w:val="18"/>
        </w:rPr>
        <w:t>Zhorobekova M et al.  ·  Georgian Med News  ·  Mai 2026  ·  PMID 42600600</w:t>
      </w:r>
    </w:p>
    <w:p>
      <w:r>
        <w:t>Gemischte Methoden-Studie untersuchte medizinische und soziale Rehabilitation von älteren Patienten mit COPD und/oder Post-COVID-Syndrom in urbanen versus hochalpinen Regionen Kirgistans.</w:t>
      </w:r>
    </w:p>
    <w:p>
      <w:r>
        <w:rPr>
          <w:b/>
        </w:rPr>
        <w:t xml:space="preserve">Ergebnis: </w:t>
      </w:r>
      <w:r>
        <w:t>Patienten mit beiden Erkrankungen zeigten höchste Inflammationsmarker und stärkste Lungenfunktionseinschränkung (FEV1 48,5% Soll). In hochalpinen Gebieten niedrigere Sauerstoffsättigung und höhere Fatigue durch chronische Hypoxie. Rehabilitationsergebnisse besser in urbanen Gebieten mit besserer Infrastruktur und Sauerstofftherapie-Zugang. Die Studie unterstreicht Bedeutung adaptierter, regionalisierter Rehabilitationsstrategien.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Zentralasien, limitierte Ressourcenlage, zeigt Notwendigkeit dezentraler Versorgungsmodelle</w:t>
      </w:r>
    </w:p>
    <w:p>
      <w:r>
        <w:rPr>
          <w:color w:val="5A7D3A"/>
          <w:sz w:val="18"/>
        </w:rPr>
        <w:t>https://pubmed.ncbi.nlm.nih.gov/42600600/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