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12.10.2026  |  6 Studien  |  ncd.m-vf.de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Sturzrisiko bei COPD: Gleichgewichtsstörungen stärker assoziiert als Muskelschwäche</w:t>
      </w:r>
    </w:p>
    <w:p>
      <w:r>
        <w:rPr>
          <w:i/>
          <w:color w:val="666666"/>
          <w:sz w:val="18"/>
        </w:rPr>
        <w:t>Zangi M et al.  ·  Int J Chron Obstruct Pulmon Dis  ·  06.10.2026  ·  PMID 42859794</w:t>
      </w:r>
    </w:p>
    <w:p>
      <w:r>
        <w:t>Systematische Übersicht von 25 Studien mit 1.295 Teilnehmenden zu Zusammenhängen zwischen neuromuskulären Faktoren, Balance, Gangcharakteristika und Sturzereignissen bei COPD.</w:t>
      </w:r>
    </w:p>
    <w:p>
      <w:r>
        <w:rPr>
          <w:b/>
        </w:rPr>
        <w:t xml:space="preserve">Ergebnis: </w:t>
      </w:r>
      <w:r>
        <w:t>17 von 25 Studien zeigten signifikante Assoziationen zwischen Studienparametern und Sturzrisiko. Gleichgewichtsstörungen wiesen die konsistenteste Beziehung auf (14 von 17 Studien mit positiven Assoziationen). Die Evidenz für Muskelkraft war gemischt: Während einige Studien Quadrizeps-Schwäche mit erhöhtem Sturzrisiko verbanden (Odds Ratio 2,9 in einer Studie), fanden andere keine signifikante Assoziation. Veränderte Gangcharakteristika, insbesondere erhöhte Schrittzeit-Variabilität, wurden ebenfalls mit Stürzen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Rehaeinrichtungen, weit verbreitet in COPD-Versorgung; prospektive Studien zur Kausalität noch ausstehend.</w:t>
      </w:r>
    </w:p>
    <w:p>
      <w:r>
        <w:rPr>
          <w:color w:val="5A7D3A"/>
          <w:sz w:val="18"/>
        </w:rPr>
        <w:t>https://pubmed.ncbi.nlm.nih.gov/42859794/</w:t>
      </w:r>
    </w:p>
    <w:p>
      <w:pPr>
        <w:pStyle w:val="Heading2"/>
      </w:pPr>
      <w:r>
        <w:t>Mehrfacherkrankung verschlechtert Lebensqualität in Dosis-Wirkungs-Beziehung</w:t>
      </w:r>
    </w:p>
    <w:p>
      <w:r>
        <w:rPr>
          <w:i/>
          <w:color w:val="666666"/>
          <w:sz w:val="18"/>
        </w:rPr>
        <w:t>Manríquez-Robles D et al.  ·  Qual Life Res  ·  10.10.2026  ·  PMID 42859314</w:t>
      </w:r>
    </w:p>
    <w:p>
      <w:r>
        <w:t>Bevölkerungsrepräsentative chilenische Stichprobe (n=16.469) zur Identifikation von Mehrfacherkrankungs-Profilen und deren Zusammenhang mit globaler Lebensqualität mittels Latent-Class-Analyse und Strukturgleichungsmodellierung.</w:t>
      </w:r>
    </w:p>
    <w:p>
      <w:r>
        <w:rPr>
          <w:b/>
        </w:rPr>
        <w:t xml:space="preserve">Ergebnis: </w:t>
      </w:r>
      <w:r>
        <w:t>Drei Klassen wurden identifiziert: niedrige Belastung (untere Gruppe), mittlere Belastung (58,5%) und hohe Belastung (15,0%). Globale Lebensqualität war bei Personen mit mittlerer Belastung um β=-0,132 (p&lt;0,001) und bei hoher Belastung um β=-0,341 (p&lt;0,001) niedriger als in der Referenzgruppe. Schulbildung (β=0,142) und Haushaltseinkommen (β=0,139) waren positiv mit Lebensqualität assoziiert. Mehrfacherkrankung und funktionale Einschränkung waren die stärksten Differenzierungsmerkmale der Profile.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Lateinamerika; ähnliche Sozialversicherungsstruktur wie deutschsprachige Länder; vergleichbare Erfassung chronischer Erkrankungen.</w:t>
      </w:r>
    </w:p>
    <w:p>
      <w:r>
        <w:rPr>
          <w:color w:val="5A7D3A"/>
          <w:sz w:val="18"/>
        </w:rPr>
        <w:t>https://pubmed.ncbi.nlm.nih.gov/42859314/</w:t>
      </w:r>
    </w:p>
    <w:p>
      <w:pPr>
        <w:pStyle w:val="Heading2"/>
      </w:pPr>
      <w:r>
        <w:t>Körperzusammensetzung bei älteren Menschen: Fettmasse stärker mit Hypertonie assoziiert als BMI allein</w:t>
      </w:r>
    </w:p>
    <w:p>
      <w:r>
        <w:rPr>
          <w:i/>
          <w:color w:val="666666"/>
          <w:sz w:val="18"/>
        </w:rPr>
        <w:t>Wei M et al.  ·  Front Public Health  ·  24.09.2026  ·  PMID 42851637</w:t>
      </w:r>
    </w:p>
    <w:p>
      <w:r>
        <w:t>Chinesische Querschnittsstudie mit 324 älteren Erwachsenen (≥65 Jahre) zur Messung der Körperzusammensetzung mittels InBody-Analysegerät und Assoziation mit Hypertonie, Dyslipidämie und Diabetes.</w:t>
      </w:r>
    </w:p>
    <w:p>
      <w:r>
        <w:rPr>
          <w:b/>
        </w:rPr>
        <w:t xml:space="preserve">Ergebnis: </w:t>
      </w:r>
      <w:r>
        <w:t>Prävalenzen: Hypertonie 62,3%, Dyslipidämie 53,7%, Diabetes 19,8%. Signifikante Geschlechts- und Altersunterschiede: Frauen hatten höheren Körperfettanteil (PBF) und niedrigere Skelettmuskelmasse (SMM), Personen ≥75 Jahre niedrigere SMM und höheres PBF. Multivariate Regressionen zeigten: höheres PBF und höheres Viszeralfett (VFL) unabhängig mit Hypertonie assoziiert; niedrigere SMM und höheres PBF mit Dyslipidämie; höheres PBF, niedrigere SMM und höherer Rumpffettanteil mit Diabetes. Assoziationen zeigten Heterogenität nach Geschlecht und Alter: Überschüssiges Körperfett prominenter bei Frauen, niedrige SMM stärker bei älteren Altersgruppen.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ähnliche demografische Struktur und Mehrfacherkrankungs-Muster wie alternde deutsche Bevölkerung.</w:t>
      </w:r>
    </w:p>
    <w:p>
      <w:r>
        <w:rPr>
          <w:color w:val="5A7D3A"/>
          <w:sz w:val="18"/>
        </w:rPr>
        <w:t>https://pubmed.ncbi.nlm.nih.gov/42851637/</w:t>
      </w:r>
    </w:p>
    <w:p>
      <w:pPr>
        <w:pStyle w:val="Heading2"/>
      </w:pPr>
      <w:r>
        <w:t>Nierenfunktionsstörung bei indigener Bevölkerung: Machine Learning identifiziert Hochrisiko-Profile für Screening</w:t>
      </w:r>
    </w:p>
    <w:p>
      <w:r>
        <w:rPr>
          <w:i/>
          <w:color w:val="666666"/>
          <w:sz w:val="18"/>
        </w:rPr>
        <w:t>Kshatri JS et al.  ·  Indian J Med Res  ·  Aug. 2026  ·  PMID 42851230</w:t>
      </w:r>
    </w:p>
    <w:p>
      <w:r>
        <w:t>Sekundäranalyse der Odisha Tribal Family Health Survey mit 19.703 erwachsenen Angehörigen von 53 indigenen Gemeinschaften zur Prävalenz eingeschränkter Nierenfunktion (eGFR &lt;90) und Entwicklung von Deep-Neural-Network- und XGBoost-Vorhersagemodellen.</w:t>
      </w:r>
    </w:p>
    <w:p>
      <w:r>
        <w:rPr>
          <w:b/>
        </w:rPr>
        <w:t xml:space="preserve">Ergebnis: </w:t>
      </w:r>
      <w:r>
        <w:t>Gesamtprävalenz eingeschränkter Nierenfunktion 24,8% (95%-KI 23,8-25,9): davon 16,6% mild, 6,4% moderat, 1,5% schwer, 0,3% Nierenversagen. Prävalenz stieg mit Alter (5,6% bei 18-30 Jahren vs. 79,4% bei &gt;70 Jahren). Deep-Neural-Network-Modell: Genauigkeit 0,78, Recall 0,69 (verbessert auf 0,78 bei Schwellenwert 0,4). SHAP-Analyse identifizierte Alter, Hypertonie, Diabetes, Tabak- und Alkoholkonsum sowie niedrige Ernährungsdiversität als Schlüsselprädikatoren. Decision-Curve-Analyse deutete auf Nutzen ML-basierter gezielter Screenings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Südasien mit extremem Ressourcenmangel; ML-Modelle könnten auch in ähnlich ressourcenlimitierten deutschen Settings (ländliche Regionen) einsetzbar sein.</w:t>
      </w:r>
    </w:p>
    <w:p>
      <w:r>
        <w:rPr>
          <w:color w:val="5A7D3A"/>
          <w:sz w:val="18"/>
        </w:rPr>
        <w:t>https://pubmed.ncbi.nlm.nih.gov/42851230/</w:t>
      </w:r>
    </w:p>
    <w:p>
      <w:pPr>
        <w:pStyle w:val="Heading2"/>
      </w:pPr>
      <w:r>
        <w:t>Post-Lyme-Syndrom nach Antibiotika: Kliniker identifizieren weniger Fälle als Patienten-Fragebögen</w:t>
      </w:r>
    </w:p>
    <w:p>
      <w:r>
        <w:rPr>
          <w:i/>
          <w:color w:val="666666"/>
          <w:sz w:val="18"/>
        </w:rPr>
        <w:t>Yu H et al.  ·  Pathogens  ·  01.08.2026  ·  PMID 42654748</w:t>
      </w:r>
    </w:p>
    <w:p>
      <w:r>
        <w:t>Prospektive europäische Multiländer-Studie (Frankreich, Deutschland, Polen, Österreich, Skandinavien, Slowenien) zur Prävalenz und Klassifikation von Post-Behandlungs-Lyme-Borreliose-Syndrom (PTLDS) anhand klinischer Bewertung versus Patient-Reported Outcomes (n=242 mit kompletter Antibiotikabehandlung).</w:t>
      </w:r>
    </w:p>
    <w:p>
      <w:r>
        <w:rPr>
          <w:b/>
        </w:rPr>
        <w:t xml:space="preserve">Ergebnis: </w:t>
      </w:r>
      <w:r>
        <w:t>299 Patienten (40,9%) berichteten ≥1 Symptom (Müdigkeit, Muskel-Skelett-Schmerz oder kognitives Defizit) 10 Monate nach Diagnose. 15 Patienten (6,2%) erfüllten PTLDS-Kriterien nach klinischer oder Fragebogen-Bewertung; 4 (1,7%) erfüllten beide Kriterien. Fragebogen-PTLDS und Patienten mit persistierenden Symptomen berichteten höhere Symptomschweregrad und schlechtere physische Funktion als klinisch diagnostiziertes PTLDS, was darauf hindeutet, dass unterschiedliche Bewertungsmethoden teilweise unterschiedliche Patientengruppen erfassen.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Mehrzenterdaten; direkt auf Deutschland und deutschsprachigen Raum übertragbar.</w:t>
      </w:r>
    </w:p>
    <w:p>
      <w:r>
        <w:rPr>
          <w:color w:val="5A7D3A"/>
          <w:sz w:val="18"/>
        </w:rPr>
        <w:t>https://pubmed.ncbi.nlm.nih.gov/42654748/</w:t>
      </w:r>
    </w:p>
    <w:p>
      <w:pPr>
        <w:pStyle w:val="Heading2"/>
      </w:pPr>
      <w:r>
        <w:t>Erektile Dysfunktion bei COPD: 87,5% Prävalenz; Dyslipidämie und Airflow-Limitation sind unabhängige Prädiktoren</w:t>
      </w:r>
    </w:p>
    <w:p>
      <w:r>
        <w:rPr>
          <w:i/>
          <w:color w:val="666666"/>
          <w:sz w:val="18"/>
        </w:rPr>
        <w:t>Alcalá-Rivera N et al.  ·  Rev Assoc Med Bras (1992)  ·  07.08.2026  ·  PMID 42585471</w:t>
      </w:r>
    </w:p>
    <w:p>
      <w:r>
        <w:t>Spanische Querschnittsstudie mit 120 männlichen COPD-Patienten zur Erfassung sexueller Funktionsstörungen mittels International Index of Erectile Function (IIEF ≤16 als klinisch signifikant).</w:t>
      </w:r>
    </w:p>
    <w:p>
      <w:r>
        <w:rPr>
          <w:b/>
        </w:rPr>
        <w:t xml:space="preserve">Ergebnis: </w:t>
      </w:r>
      <w:r>
        <w:t>113 Patienten (94,2%) berichteten Veränderungen ihrer Sexualfunktion, 42 (36%) waren unzufrieden. Erektile Dysfunktion-Prävalenz 87,5% (mild 27,5%, mild-moderat 21,7%, moderat 17,5%, schwer 20,8%). Hauptursachen laut Patientenaussage: Grunderkrankung (53,3%), Medikamente (20,8%), psychische Probleme (20%). Multivariate Analyse: Dyslipidämie (OR 4,03; 95%-KI 1,43-11,36; p=0,008) und verminderte %pFEV1 (OR 0,937; 95%-KI 0,906-0,968; p&lt;0,001) waren unabhängige Prädiktoren für klinisch signifikante erektile 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COPD-Versorgungsstrukturen; sexuelle Gesundheit als unterschätzte Komponente chronischer Erkrankungen in der Praxis.</w:t>
      </w:r>
    </w:p>
    <w:p>
      <w:r>
        <w:rPr>
          <w:color w:val="5A7D3A"/>
          <w:sz w:val="18"/>
        </w:rPr>
        <w:t>https://pubmed.ncbi.nlm.nih.gov/42585471/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