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NCD und chronische Krankheiten</w:t>
      </w:r>
    </w:p>
    <w:p>
      <w:r>
        <w:rPr>
          <w:i/>
          <w:color w:val="666666"/>
          <w:sz w:val="18"/>
        </w:rPr>
        <w:t>Stand: 22.10.2026  |  365 Studien  |  ncd.m-vf.de</w:t>
      </w:r>
    </w:p>
    <w:p>
      <w:pPr>
        <w:pStyle w:val="Heading1"/>
      </w:pPr>
      <w:r>
        <w:t>Aufgenommen am 22.10.2026</w:t>
      </w:r>
    </w:p>
    <w:p>
      <w:pPr>
        <w:pStyle w:val="Heading2"/>
      </w:pPr>
      <w:r>
        <w:t>Sensorische Beeinträchtigung und Einsamkeit erhöhen Mehrfacherkrankung um Faktor 1,56–2,36</w:t>
      </w:r>
    </w:p>
    <w:p>
      <w:r>
        <w:rPr>
          <w:i/>
          <w:color w:val="666666"/>
          <w:sz w:val="18"/>
        </w:rPr>
        <w:t>Pan Y et al.  ·  Int J Equity Health  ·  24.07.2026  ·  PMID 42902280</w:t>
      </w:r>
    </w:p>
    <w:p>
      <w:r>
        <w:t>Querschnittliche Analyse von 15.022 Älteren in China, USA und England zur Assoziation von Hör- und Sehstörungen mit dem Auftreten von körperlich-psychisch-kognitiven Mehrfacherkrankungen über 6–8 Jahre Nachbeobachtung.</w:t>
      </w:r>
    </w:p>
    <w:p>
      <w:r>
        <w:rPr>
          <w:b/>
        </w:rPr>
        <w:t xml:space="preserve">Ergebnis: </w:t>
      </w:r>
      <w:r>
        <w:t>Duale Sinnesbeeinträchtigung war unabhängig mit physisch-psychischer Mehrfacherkrankung (HR 2,18), psychisch-kognitiver (HR 2,36) und dreifacher Komorbidität (HR 1,56; 95%-KI 1,19–2,03) assoziiert. Einsamkeit erklärte etwa 10–12 % dieser Assoziation. Die Assoziation blieb in Sensitivitätsanalysen und länderübergreifend stabil.</w:t>
      </w:r>
    </w:p>
    <w:p>
      <w:r>
        <w:rPr>
          <w:b/>
          <w:sz w:val="19"/>
        </w:rPr>
        <w:t xml:space="preserve">Übertragbarkeit: </w:t>
      </w:r>
      <w:r>
        <w:rPr>
          <w:sz w:val="19"/>
        </w:rPr>
        <w:t>Internationale Vergleichskohorte; Übertragbarkeit hängt von Struktur der Altenhilfe ab.</w:t>
      </w:r>
    </w:p>
    <w:p>
      <w:r>
        <w:rPr>
          <w:color w:val="5A7D3A"/>
          <w:sz w:val="18"/>
        </w:rPr>
        <w:t>https://pubmed.ncbi.nlm.nih.gov/42902280/</w:t>
      </w:r>
    </w:p>
    <w:p>
      <w:pPr>
        <w:pStyle w:val="Heading2"/>
      </w:pPr>
      <w:r>
        <w:t>Therapeutische Kontinuität verbessert Diabetesmanagement nicht ohne koordinierte Versorgung</w:t>
      </w:r>
    </w:p>
    <w:p>
      <w:r>
        <w:rPr>
          <w:i/>
          <w:color w:val="666666"/>
          <w:sz w:val="18"/>
        </w:rPr>
        <w:t>Poarch E et al.  ·  BMC Prim Care  ·  24.07.2026  ·  PMID 42902172</w:t>
      </w:r>
    </w:p>
    <w:p>
      <w:r>
        <w:t>Bevölkerungsbasierte Kohortenstudie von 2020–2023 in British Columbia mit über 84.000 Patienten mit Diabetes und/oder Hypertonie zur Frage, ob die Kontinuität der Arzt-Patienten-Beziehung zu empfohlenen Managementprozessen führt.</w:t>
      </w:r>
    </w:p>
    <w:p>
      <w:r>
        <w:rPr>
          <w:b/>
        </w:rPr>
        <w:t xml:space="preserve">Ergebnis: </w:t>
      </w:r>
      <w:r>
        <w:t>Vollständige relationale Kontinuität war nicht mit erhöhtem empfohlenem Management assoziiert (adjustierte RR 1,00; 95%-KI 0,99–1,01). Bei Patienten mit komplexem Bedarf (schwere psychische Erkrankung, Suchterkrankung) zeigten sich inverse Assoziationen (SMI + ≥12 Besuche aRR 0,64 [0,52–0,80]). Dies deutet darauf hin, dass reine Beziehungskontinuität ohne Management- und Informationskontinuität nicht ausreicht.</w:t>
      </w:r>
    </w:p>
    <w:p>
      <w:r>
        <w:rPr>
          <w:b/>
          <w:sz w:val="19"/>
        </w:rPr>
        <w:t xml:space="preserve">Übertragbarkeit: </w:t>
      </w:r>
      <w:r>
        <w:rPr>
          <w:sz w:val="19"/>
        </w:rPr>
        <w:t>Kanada/British Columbia; ähnliches primärärztliches System, aber ohne DMP-ähnliche Strukturen.</w:t>
      </w:r>
    </w:p>
    <w:p>
      <w:r>
        <w:rPr>
          <w:color w:val="5A7D3A"/>
          <w:sz w:val="18"/>
        </w:rPr>
        <w:t>https://pubmed.ncbi.nlm.nih.gov/42902172/</w:t>
      </w:r>
    </w:p>
    <w:p>
      <w:pPr>
        <w:pStyle w:val="Heading2"/>
      </w:pPr>
      <w:r>
        <w:t>Multimorbidität bei älteren Sturzhospitalisierungen: vier Phänotypen mit steuerbaren Risikofaktoren</w:t>
      </w:r>
    </w:p>
    <w:p>
      <w:r>
        <w:rPr>
          <w:i/>
          <w:color w:val="666666"/>
          <w:sz w:val="18"/>
        </w:rPr>
        <w:t>Wang X et al.  ·  BMC Geriatr  ·  22.07.2026  ·  PMID 42897528</w:t>
      </w:r>
    </w:p>
    <w:p>
      <w:r>
        <w:t>Querschnittsanalyse von 705 älteren Stürzen im Krankenhaus (Januar 2015–August 2025) mit latenter Klassenanalyse von 12 chronischen Erkrankungen zur Identifikation von Mehrfacherkrankungs-Clustern und assoziierten Faktoren.</w:t>
      </w:r>
    </w:p>
    <w:p>
      <w:r>
        <w:rPr>
          <w:b/>
        </w:rPr>
        <w:t xml:space="preserve">Ergebnis: </w:t>
      </w:r>
      <w:r>
        <w:t>Vier distinct Multimorbidität-Klassen: Schlaganfall-Gruppe (11,9 %), Krebsgruppe (22,8 %), Multisystem-Multimorbidität (22,4 %), relativ Gesunde (42,8 %). Logistische Regression zeigte signifikante Assoziationen mit Alter, Station, Begleitstatus, Prä-Sturz-Status, Personalerfahrung, Risiko-Assessment-Score und Anzahl sturzrisiko-erhöhender Arzneimittel (alle p&lt;0,05). Krebs war häufigste Einzelerkrankung.</w:t>
      </w:r>
    </w:p>
    <w:p>
      <w:r>
        <w:rPr>
          <w:b/>
          <w:sz w:val="19"/>
        </w:rPr>
        <w:t xml:space="preserve">Übertragbarkeit: </w:t>
      </w:r>
      <w:r>
        <w:rPr>
          <w:sz w:val="19"/>
        </w:rPr>
        <w:t>China (Hangzhou); tertäre Klinik; Struktur ähnlich deutschen Krankenhäusern, aber Adhärenz- und Dokumentationspraxis unterscheidet sich.</w:t>
      </w:r>
    </w:p>
    <w:p>
      <w:r>
        <w:rPr>
          <w:color w:val="5A7D3A"/>
          <w:sz w:val="18"/>
        </w:rPr>
        <w:t>https://pubmed.ncbi.nlm.nih.gov/42897528/</w:t>
      </w:r>
    </w:p>
    <w:p>
      <w:pPr>
        <w:pStyle w:val="Heading2"/>
      </w:pPr>
      <w:r>
        <w:t>GLP-1-Analogon reduziert renale Ereignisse bei Typ-2-Diabetes mit Nierenschaden um 51–67 %</w:t>
      </w:r>
    </w:p>
    <w:p>
      <w:r>
        <w:rPr>
          <w:i/>
          <w:color w:val="666666"/>
          <w:sz w:val="18"/>
        </w:rPr>
        <w:t>Ye J et al.  ·  Signal Transduct Target Ther  ·  20.10.2026  ·  PMID 42897130</w:t>
      </w:r>
    </w:p>
    <w:p>
      <w:r>
        <w:t>Multizentrische retrospektive Kohortenstudie mit 3.305 Patienten in China mit Typ-2-Diabetes, Nierenschädigung und kardiovaskulärem Risiko über median 36,4 Monate zur renoprotektiven Wirkung von Polyethylenglycol-Loxenatid vs. Standardtherapie.</w:t>
      </w:r>
    </w:p>
    <w:p>
      <w:r>
        <w:rPr>
          <w:b/>
        </w:rPr>
        <w:t xml:space="preserve">Ergebnis: </w:t>
      </w:r>
      <w:r>
        <w:t>Polyethylenglycol-Loxenatid war mit reduziertem Risiko für primäre nierenspezifische Ereignisse assoziiert (adjustierte HR 0,49; 95%-KI 0,25–0,95; p=0,035 in Gesamtkohorte; HR 0,44 [0,20–0,97] nach Propensity-Score-Matching). Effekt zeigte sich progressiv über 6-Monats-Landmarks (HR 0,40) bis 12-Monats-Landmarks (HR 0,33). Kardiovaskulärer Effekt war nicht stabil.</w:t>
      </w:r>
    </w:p>
    <w:p>
      <w:r>
        <w:rPr>
          <w:b/>
          <w:sz w:val="19"/>
        </w:rPr>
        <w:t xml:space="preserve">Übertragbarkeit: </w:t>
      </w:r>
      <w:r>
        <w:rPr>
          <w:sz w:val="19"/>
        </w:rPr>
        <w:t>China; Datenextraktion durch KI-gestützte Pipeline, aber Übertragbarkeit begrenzt durch ethnische/pathophysiologische Unterschiede.</w:t>
      </w:r>
    </w:p>
    <w:p>
      <w:r>
        <w:rPr>
          <w:color w:val="5A7D3A"/>
          <w:sz w:val="18"/>
        </w:rPr>
        <w:t>https://pubmed.ncbi.nlm.nih.gov/42897130/</w:t>
      </w:r>
    </w:p>
    <w:p>
      <w:pPr>
        <w:pStyle w:val="Heading2"/>
      </w:pPr>
      <w:r>
        <w:t>Exergame erzielte 67 % maximale Herzfrequenz mit hoher Adhärenzfreude bei stabilen Chronikern</w:t>
      </w:r>
    </w:p>
    <w:p>
      <w:r>
        <w:rPr>
          <w:i/>
          <w:color w:val="666666"/>
          <w:sz w:val="18"/>
        </w:rPr>
        <w:t>Haron MJ et al.  ·  JMIR Form Res  ·  19.10.2026  ·  PMID 42896149</w:t>
      </w:r>
    </w:p>
    <w:p>
      <w:r>
        <w:t>Einarm-Pilot-Experimentalstudie mit 20 Erwachsenen (Durchschnittsalter 54,3 Jahre) mit stabilen chronischen Erkrankungen (70 % Hypertonie, 55 % Hyperlipidämie) zur Untersuchung physiologischer Reaktionen, Trainingsintensität und Spielfreude beim Exergame Ring Fit Adventure.</w:t>
      </w:r>
    </w:p>
    <w:p>
      <w:r>
        <w:rPr>
          <w:b/>
        </w:rPr>
        <w:t xml:space="preserve">Ergebnis: </w:t>
      </w:r>
      <w:r>
        <w:t>Mittlere Herzfrequenz während Spiels 111,6 bpm (67,2 % maximale altersgerechte HF); Spitzenwert 138,6 bpm (83,5 %). HF-Anstieg nach Welt 1: 16,7 bpm (p&lt;0,001), nach Welt 2: 20,7 bpm (p&lt;0,001). Kapillarblutglukose sank um 1,4 mmol/L (Welt 1) und 1,6 mmol/L (Welt 2) ohne Hypoglykämien. Blutdruck stabil. Genussquote 77,6/100. Keine schweren Nebenereignisse.</w:t>
      </w:r>
    </w:p>
    <w:p>
      <w:r>
        <w:rPr>
          <w:b/>
          <w:sz w:val="19"/>
        </w:rPr>
        <w:t xml:space="preserve">Übertragbarkeit: </w:t>
      </w:r>
      <w:r>
        <w:rPr>
          <w:sz w:val="19"/>
        </w:rPr>
        <w:t>Singapur; kleine Stichprobe, keine Kontrollgruppe, aber Machbarkeit für Home-Based-Übungen gezeigt.</w:t>
      </w:r>
    </w:p>
    <w:p>
      <w:r>
        <w:rPr>
          <w:color w:val="5A7D3A"/>
          <w:sz w:val="18"/>
        </w:rPr>
        <w:t>https://pubmed.ncbi.nlm.nih.gov/42896149/</w:t>
      </w:r>
    </w:p>
    <w:p>
      <w:pPr>
        <w:pStyle w:val="Heading2"/>
      </w:pPr>
      <w:r>
        <w:t>Erhöhte Sulfatase-1 im Serum korreliert mit langsamerer Lungenfunktionsabnahme bei COPD</w:t>
      </w:r>
    </w:p>
    <w:p>
      <w:r>
        <w:rPr>
          <w:i/>
          <w:color w:val="666666"/>
          <w:sz w:val="18"/>
        </w:rPr>
        <w:t>Liu Y et al.  ·  Respir Res  ·  22.07.2026  ·  PMID 42894165</w:t>
      </w:r>
    </w:p>
    <w:p>
      <w:r>
        <w:t>Klinische Beobachtungsstudie mit Serum-ELISA und funktionellen Modellen zur Rolle von Sulfatase 1 (SULF1) in der COPD-Progression mit Analyse der Korrelation zu Lungenfunktionsverlauf und In-vivo-Mechanismus.</w:t>
      </w:r>
    </w:p>
    <w:p>
      <w:r>
        <w:rPr>
          <w:b/>
        </w:rPr>
        <w:t xml:space="preserve">Ergebnis: </w:t>
      </w:r>
      <w:r>
        <w:t>Bei COPD-Patienten waren SULF1-Serumspiegel erhöht und zeigten negative Korrelation mit FEV1/FVC-Ratio (p&lt;0,001) und jährlichem FEV1/FVC-Rückgang. In Rauchexpositionsmodellen führte SULF1-Knockout zu ausgeprägteren Emphysemveränderungen; SULF1-Überexpression minderte Lungenalterationen partiell ab. SULF1 band stabil an Keratin 15 (KRT15).</w:t>
      </w:r>
    </w:p>
    <w:p>
      <w:r>
        <w:rPr>
          <w:b/>
          <w:sz w:val="19"/>
        </w:rPr>
        <w:t xml:space="preserve">Übertragbarkeit: </w:t>
      </w:r>
      <w:r>
        <w:rPr>
          <w:sz w:val="19"/>
        </w:rPr>
        <w:t>China (Guangzhou); Mechanismus belegt, aber klinische Validierung und Interventionspfade fehlen.</w:t>
      </w:r>
    </w:p>
    <w:p>
      <w:r>
        <w:rPr>
          <w:color w:val="5A7D3A"/>
          <w:sz w:val="18"/>
        </w:rPr>
        <w:t>https://pubmed.ncbi.nlm.nih.gov/42894165/</w:t>
      </w:r>
    </w:p>
    <w:p>
      <w:pPr>
        <w:pStyle w:val="Heading1"/>
      </w:pPr>
      <w:r>
        <w:t>Aufgenommen am 21.10.2026</w:t>
      </w:r>
    </w:p>
    <w:p>
      <w:pPr>
        <w:pStyle w:val="Heading2"/>
      </w:pPr>
      <w:r>
        <w:t>COPD-Phänotypen nach Entzündungsmuster identifiziert: vier klinisch relevante Subgruppen</w:t>
      </w:r>
    </w:p>
    <w:p>
      <w:r>
        <w:rPr>
          <w:i/>
          <w:color w:val="666666"/>
          <w:sz w:val="18"/>
        </w:rPr>
        <w:t>Wang Q et al.  ·  Int J Chron Obstruct Pulmon Dis  ·  15.10.2026  ·  PMID 42899181</w:t>
      </w:r>
    </w:p>
    <w:p>
      <w:r>
        <w:t>Chinesische Studie an 319 stabilen COPD-Patienten identifizierte vier Phänotypen mittels Clusteranalyse von Zytokinen und Atemwegsverengung und korrelierte diese mit CT-Befunden, klinischen Symptomen und Exazerbationen.</w:t>
      </w:r>
    </w:p>
    <w:p>
      <w:r>
        <w:rPr>
          <w:b/>
        </w:rPr>
        <w:t xml:space="preserve">Ergebnis: </w:t>
      </w:r>
      <w:r>
        <w:t>Cluster 1 (Schwer-niedrige Entzündung): niedrigste Zytokine, höchste Symptomen, schwerste Atemwegsverengung, ausgeprägtestes Emphysem. Cluster 2 (Mild-niedrig): geringe Symptomen, erhaltene Lungenfunktion. Cluster 3 (Moderat-erhöht): mittlere Entzündung und Symptomen. Cluster 4 (Sehr hohe Entzündung): deutlich erhöhte Zytokine, erhaltene Lungenfunktion, aber massive Atemwegsraum-Verdickung und häufige Exazerbationen. Diese Phänotypisierung offenbarte eine Dissoziation zwischen systemischer Entzündung und Krankheitsschweregrad, was individualisierte Therapie ermöglicht.</w:t>
      </w:r>
    </w:p>
    <w:p>
      <w:r>
        <w:rPr>
          <w:b/>
          <w:sz w:val="19"/>
        </w:rPr>
        <w:t xml:space="preserve">Übertragbarkeit: </w:t>
      </w:r>
      <w:r>
        <w:rPr>
          <w:sz w:val="19"/>
        </w:rPr>
        <w:t>China, aber Phänotypisierungskonzept unabhängig von Gesundheitssystem übertragbar</w:t>
      </w:r>
    </w:p>
    <w:p>
      <w:r>
        <w:rPr>
          <w:color w:val="5A7D3A"/>
          <w:sz w:val="18"/>
        </w:rPr>
        <w:t>https://pubmed.ncbi.nlm.nih.gov/42899181/</w:t>
      </w:r>
    </w:p>
    <w:p>
      <w:pPr>
        <w:pStyle w:val="Heading2"/>
      </w:pPr>
      <w:r>
        <w:t>DECAF-Score überlegen: 95,6 % Spezifität für Mortalitätsprognose bei COPD-Exazerbation</w:t>
      </w:r>
    </w:p>
    <w:p>
      <w:r>
        <w:rPr>
          <w:i/>
          <w:color w:val="666666"/>
          <w:sz w:val="18"/>
        </w:rPr>
        <w:t>Gode R et al.  ·  BMC Pulm Med  ·  23.07.2026  ·  PMID 42897561</w:t>
      </w:r>
    </w:p>
    <w:p>
      <w:r>
        <w:t>Türkische Klinikkohorte verglich zwei Prognosescores (HALP und DECAF) bei 499 Patienten mit akuter COPD-Exazerbation zur Vorhersage 30-Tage-Krankenhaussterblichkeit mittels ROC-Analyse und logistischer Regression.</w:t>
      </w:r>
    </w:p>
    <w:p>
      <w:r>
        <w:rPr>
          <w:b/>
        </w:rPr>
        <w:t xml:space="preserve">Ergebnis: </w:t>
      </w:r>
      <w:r>
        <w:t>63 Patienten (12,6 %) starben innerhalb 30 Tage. DECAF-Score zeigte überlegene Diskriminierung (AUC 0,932) gegenüber HALP (AUC 0,724; p&lt;0,001). Bei DECAF ≥4 betrugen Sensitivität 76,2 %, Spezifität 95,6 %, negativer prädiktiver Wert 96,5 %. HALP bot nur begrenzte prognostische Information. DECAF bleibt robuster und klinisch anwendbarer Prädiktor für Kurzzeitergebnisse im Notfalleinsatz.</w:t>
      </w:r>
    </w:p>
    <w:p>
      <w:r>
        <w:rPr>
          <w:b/>
          <w:sz w:val="19"/>
        </w:rPr>
        <w:t xml:space="preserve">Übertragbarkeit: </w:t>
      </w:r>
      <w:r>
        <w:rPr>
          <w:sz w:val="19"/>
        </w:rPr>
        <w:t>Türkische Notfallmedizin, Score international validiert und einsetzbar</w:t>
      </w:r>
    </w:p>
    <w:p>
      <w:r>
        <w:rPr>
          <w:color w:val="5A7D3A"/>
          <w:sz w:val="18"/>
        </w:rPr>
        <w:t>https://pubmed.ncbi.nlm.nih.gov/42897561/</w:t>
      </w:r>
    </w:p>
    <w:p>
      <w:pPr>
        <w:pStyle w:val="Heading2"/>
      </w:pPr>
      <w:r>
        <w:t>Messinstrument für Therapieunsicherheit bei Dialysepatienten validiert</w:t>
      </w:r>
    </w:p>
    <w:p>
      <w:r>
        <w:rPr>
          <w:i/>
          <w:color w:val="666666"/>
          <w:sz w:val="18"/>
        </w:rPr>
        <w:t>Gündoğan R et al.  ·  BMC Nephrol  ·  23.07.2026  ·  PMID 42897558</w:t>
      </w:r>
    </w:p>
    <w:p>
      <w:r>
        <w:t>Türkische Validierungsstudie entwickelte eine reliable und valide Skala (UC-D&amp;TS) zur Messung von Unsicherheit über Erkrankung und Behandlung bei 155 Dialysepatienten, angewendet um den Zusammenhang zwischen Unsicherheit, Adhärenz und psychosozialem Wohlbefinden zu untersuchen.</w:t>
      </w:r>
    </w:p>
    <w:p>
      <w:r>
        <w:rPr>
          <w:b/>
        </w:rPr>
        <w:t xml:space="preserve">Ergebnis: </w:t>
      </w:r>
      <w:r>
        <w:t>Die Skala zeigte hohe interne Konsistenz (Cronbach α = 0,872), eine vier-Faktoren-Struktur, die 59,13 % der Varianz erklärte, und exzellente Test-Retest-Reliabilität (r = 0,986). Messmodell passte akzeptabel (χ²/df = 1,77; CFI = 0,94). Das Instrument ist einsatzreif für klinische Praxis und Forschung zur Rolle von Unsicherheit bei Therapietreue und psychischem Wohlbefinden von Dialysepatienten.</w:t>
      </w:r>
    </w:p>
    <w:p>
      <w:r>
        <w:rPr>
          <w:b/>
          <w:sz w:val="19"/>
        </w:rPr>
        <w:t xml:space="preserve">Übertragbarkeit: </w:t>
      </w:r>
      <w:r>
        <w:rPr>
          <w:sz w:val="19"/>
        </w:rPr>
        <w:t>Validierungsstudie an türkischer Population; Instrument für internationale Verwendung adaptierbar</w:t>
      </w:r>
    </w:p>
    <w:p>
      <w:r>
        <w:rPr>
          <w:color w:val="5A7D3A"/>
          <w:sz w:val="18"/>
        </w:rPr>
        <w:t>https://pubmed.ncbi.nlm.nih.gov/42897558/</w:t>
      </w:r>
    </w:p>
    <w:p>
      <w:pPr>
        <w:pStyle w:val="Heading2"/>
      </w:pPr>
      <w:r>
        <w:t>Südafrika: Hypertonie und Diabetes verdoppelt – Mehrfacherkrankung bei älteren Frauen am höchsten</w:t>
      </w:r>
    </w:p>
    <w:p>
      <w:r>
        <w:rPr>
          <w:i/>
          <w:color w:val="666666"/>
          <w:sz w:val="18"/>
        </w:rPr>
        <w:t>Chironda CT et al.  ·  BMC Public Health  ·  23.07.2026  ·  PMID 42897543</w:t>
      </w:r>
    </w:p>
    <w:p>
      <w:r>
        <w:t>Südafrikanische Verbal-Autopsy-Studie an 5.892 Verstorbenen analysierte Trends chronischer Erkrankungen und Multimorbidität-Cluster über 11 Jahre mittels Clusteranalyse und latenter Klassenanalyse, um epidemiologischen Wandel in ländlicher Region zu dokumentieren.</w:t>
      </w:r>
    </w:p>
    <w:p>
      <w:r>
        <w:rPr>
          <w:b/>
        </w:rPr>
        <w:t xml:space="preserve">Ergebnis: </w:t>
      </w:r>
      <w:r>
        <w:t>Hypertonie stieg von 25 % (2012) auf über 50 % (2022), Diabetes von 10 % auf 25 %. Tuberkulose fiel von 23 % auf 11 %, HIV-Prävalenz schwankte um 20 %. Multimorbidität (≥2 Erkrankungen) wuchs, Komplexmultimorbidität (≥3) verdoppelte sich von 8 % (2012) auf 15 % (2019). Cluster verschwanden progressiv vom HIV/TB-Muster zu kardio-metabolischen Mustern (Hypertonie-Diabetes). Ältere Erwachsene (≥65 Jahre) und Frauen trugen höchste Multimorbidität-Last. Dies zeigt: ländliche Bevölkerung unterliegt Epidemiologischem Übergang; Versorgung muss Nichtübertragbare Krankheiten priorisieren und Mehrfacherkrankungen adressieren.</w:t>
      </w:r>
    </w:p>
    <w:p>
      <w:r>
        <w:rPr>
          <w:b/>
          <w:sz w:val="19"/>
        </w:rPr>
        <w:t xml:space="preserve">Übertragbarkeit: </w:t>
      </w:r>
      <w:r>
        <w:rPr>
          <w:sz w:val="19"/>
        </w:rPr>
        <w:t>Südafrika, ländliches Setting; epidemiologischer Wandel global relevant, Gesundheitssysteme unterschiedlich</w:t>
      </w:r>
    </w:p>
    <w:p>
      <w:r>
        <w:rPr>
          <w:color w:val="5A7D3A"/>
          <w:sz w:val="18"/>
        </w:rPr>
        <w:t>https://pubmed.ncbi.nlm.nih.gov/42897543/</w:t>
      </w:r>
    </w:p>
    <w:p>
      <w:pPr>
        <w:pStyle w:val="Heading2"/>
      </w:pPr>
      <w:r>
        <w:t>Nierentransplantation senkt Kosten dramatisch: Krankenhauskosten 82 % niedriger als bei Dialyse</w:t>
      </w:r>
    </w:p>
    <w:p>
      <w:r>
        <w:rPr>
          <w:i/>
          <w:color w:val="666666"/>
          <w:sz w:val="18"/>
        </w:rPr>
        <w:t>Santamaria R et al.  ·  BMC Nephrol  ·  22.07.2026  ·  PMID 42897541</w:t>
      </w:r>
    </w:p>
    <w:p>
      <w:r>
        <w:t>Spanische Kohortenstudie verglich Gesundheitskosten und Krankenhausnutzung bei 588 Patienten mit Dialyse oder Nierentransplantation über zwei Jahre, gemessen an Hospitalisierungen, schwerwiegenden kardiovaskulären Ereignissen und Mortalität.</w:t>
      </w:r>
    </w:p>
    <w:p>
      <w:r>
        <w:rPr>
          <w:b/>
        </w:rPr>
        <w:t xml:space="preserve">Ergebnis: </w:t>
      </w:r>
      <w:r>
        <w:t>Durchschnittliche Jahreskosten für Dialysepatienten betrugen 25.410 €, für Transplantierte 4.473 €. Bei Dialysepatienten waren schwerwiegende kardiovaskuläre Ereignisse 3,2-mal häufiger (276,3 vs. 85,9 pro 1000 Patientenjahre), Hospitalisierungsrate 1,3-mal höher (245,7 vs. 183,0 pro 1000), Sterblichkeit 7,1-mal höher (253,8 vs. 35,6). Hospitalisierungen verursachten 72,4 % der Dialysekosten, bei Transplantation nur 39,8 %. Die Ergebnisse bestätigen Transplantation als kosteneffektivste Therapie chronischer Nierenfunktionsstörung.</w:t>
      </w:r>
    </w:p>
    <w:p>
      <w:r>
        <w:rPr>
          <w:b/>
          <w:sz w:val="19"/>
        </w:rPr>
        <w:t xml:space="preserve">Übertragbarkeit: </w:t>
      </w:r>
      <w:r>
        <w:rPr>
          <w:sz w:val="19"/>
        </w:rPr>
        <w:t>Spanisches Gesundheitssystem, vergleichbar mit deutschem Versicherungsmodell</w:t>
      </w:r>
    </w:p>
    <w:p>
      <w:r>
        <w:rPr>
          <w:color w:val="5A7D3A"/>
          <w:sz w:val="18"/>
        </w:rPr>
        <w:t>https://pubmed.ncbi.nlm.nih.gov/42897541/</w:t>
      </w:r>
    </w:p>
    <w:p>
      <w:pPr>
        <w:pStyle w:val="Heading2"/>
      </w:pPr>
      <w:r>
        <w:t>Schlafmangel erhöht Multimorbidität-Risiko um 375 %: Studie an postmenopausalen Frauen</w:t>
      </w:r>
    </w:p>
    <w:p>
      <w:r>
        <w:rPr>
          <w:i/>
          <w:color w:val="666666"/>
          <w:sz w:val="18"/>
        </w:rPr>
        <w:t>Xu J et al.  ·  BMC Public Health  ·  24.07.2026  ·  PMID 42897539</w:t>
      </w:r>
    </w:p>
    <w:p>
      <w:r>
        <w:t>Chinesische Längsschnittstudie an 2.859 postmenopausalen Frauen aus der CHARLS-Kohorte identifizierte Schlafmuster (Group-Based Trajectory Modeling) und untersuchte deren Assoziation mit kardio-renal-metabolischer Mehrfacherkrankung (kardiovaskulär, Niere, Stoffwechsel) über mittlere zwei Jahre Nachbeobachtung.</w:t>
      </w:r>
    </w:p>
    <w:p>
      <w:r>
        <w:rPr>
          <w:b/>
        </w:rPr>
        <w:t xml:space="preserve">Ergebnis: </w:t>
      </w:r>
      <w:r>
        <w:t>Drei Schlafmuster wurden identifiziert: normal-stabil (33,9 %), normal-fluktuierend abnehmend (52,0 %), kurz-rapide abnehmend (14,1 %). Während Nachbeobachtung entwickelten 108 Frauen (3,8 %) Multimorbidität. Gegenüber normal-stabil-Gruppe: normal-fluktuierend-abnehmend erhöhte Multimorbidität-Risiko um 130 % (OR 2,30; 95%KI 1,35–3,91), kurz-rapide-abnehmend um 275 % (OR 3,75; 95%KI 1,99–7,07). Effekte blieben in Subgruppen- und Sensitivitätsanalysen stabil. Stable ausreichende Schlafdauer ist protektiver Faktor gegen Multimorbidität.</w:t>
      </w:r>
    </w:p>
    <w:p>
      <w:r>
        <w:rPr>
          <w:b/>
          <w:sz w:val="19"/>
        </w:rPr>
        <w:t xml:space="preserve">Übertragbarkeit: </w:t>
      </w:r>
      <w:r>
        <w:rPr>
          <w:sz w:val="19"/>
        </w:rPr>
        <w:t>China; Phänomen biologisch universal, präventiventiver Ansatz systemunabhängig</w:t>
      </w:r>
    </w:p>
    <w:p>
      <w:r>
        <w:rPr>
          <w:color w:val="5A7D3A"/>
          <w:sz w:val="18"/>
        </w:rPr>
        <w:t>https://pubmed.ncbi.nlm.nih.gov/42897539/</w:t>
      </w:r>
    </w:p>
    <w:p>
      <w:pPr>
        <w:pStyle w:val="Heading1"/>
      </w:pPr>
      <w:r>
        <w:t>Aufgenommen am 20.10.2026</w:t>
      </w:r>
    </w:p>
    <w:p>
      <w:pPr>
        <w:pStyle w:val="Heading2"/>
      </w:pPr>
      <w:r>
        <w:t>Atherogenic-Frailty-Index sagt kardio-metabole Mehrfacherkrankung voraus: kumulative Last und Trajektorien</w:t>
      </w:r>
    </w:p>
    <w:p>
      <w:r>
        <w:rPr>
          <w:i/>
          <w:color w:val="666666"/>
          <w:sz w:val="18"/>
        </w:rPr>
        <w:t>Wu H et al.  ·  J Glob Health  ·  19.10.2026  ·  PMID 42895260</w:t>
      </w:r>
    </w:p>
    <w:p>
      <w:r>
        <w:t>Prospektive nationale chinesische Kohortenstudie (CHARLS) an 4.157 Erwachsenen ≥45 Jahren ohne baseline-Mehrfacherkrankung zur Assoziation von kumulativer Exposition und Longitudinal-Trajektorien eines kombinierten atherogenic-frailty-Index (AIP-FI) mit neu auftretender kardio-metaboler Mehrfacherkrankung.</w:t>
      </w:r>
    </w:p>
    <w:p>
      <w:r>
        <w:rPr>
          <w:b/>
        </w:rPr>
        <w:t xml:space="preserve">Ergebnis: </w:t>
      </w:r>
      <w:r>
        <w:t>Über 8,5 Jahre Nachverfolgung traten 612 neue Mehrfacherkrankungs-Fälle auf. Höherer baseline und kumulativer AIP-FI waren signifikant mit erhöhtem Mehrfacherkrankungs-Risiko assoziiert; kumulativer Effekt war stärker (adjustierte HR pro SD: 1,46; 95%-KI 1,38–1,54). Höchstes Quartil vs. niedrigstes: HR 3,95 (95%-KI 2,95–5,29). Hoch-stabile AIP-FI-Gruppen zeigten höchstes Risiko. AIP-FI hatte überlegene Vorhersageleistung (AUC 71,17%) mit verbesserter Reklassifikation (NRI 0,157).</w:t>
      </w:r>
    </w:p>
    <w:p>
      <w:r>
        <w:rPr>
          <w:b/>
          <w:sz w:val="19"/>
        </w:rPr>
        <w:t xml:space="preserve">Übertragbarkeit: </w:t>
      </w:r>
      <w:r>
        <w:rPr>
          <w:sz w:val="19"/>
        </w:rPr>
        <w:t>China, nationales Register, aber Mehrfacherkrankungs-Konzept und Biomarker-Ansatz europäisch relevant</w:t>
      </w:r>
    </w:p>
    <w:p>
      <w:r>
        <w:rPr>
          <w:color w:val="5A7D3A"/>
          <w:sz w:val="18"/>
        </w:rPr>
        <w:t>https://pubmed.ncbi.nlm.nih.gov/42895260/</w:t>
      </w:r>
    </w:p>
    <w:p>
      <w:pPr>
        <w:pStyle w:val="Heading2"/>
      </w:pPr>
      <w:r>
        <w:t>CKD als Kardio-Nieren-Stoffwechsel-Kontinuum: neue Phänotypen für Risikostratifikation</w:t>
      </w:r>
    </w:p>
    <w:p>
      <w:r>
        <w:rPr>
          <w:i/>
          <w:color w:val="666666"/>
          <w:sz w:val="18"/>
        </w:rPr>
        <w:t>Valtuille RA et al.  ·  Panminerva Med  ·  Sept. 2026  ·  PMID 42895046</w:t>
      </w:r>
    </w:p>
    <w:p>
      <w:r>
        <w:t>Narrative Übersichtsarbeit zu CKD als systemische Erkrankung mit mehreren Filtrationphänotypen, Entzündung und kardiovaskulärer Vulnerabilität; Integration von Nierenbiomarkern in Risikoprädiktion.</w:t>
      </w:r>
    </w:p>
    <w:p>
      <w:r>
        <w:rPr>
          <w:b/>
        </w:rPr>
        <w:t xml:space="preserve">Ergebnis: </w:t>
      </w:r>
      <w:r>
        <w:t>Neuartige Filtrationphänotypen (Kreatinin-Cystatin-C-basierte eGFR-Kategorien) verbessern klassisches Staging. Simulation an 5.000 virtuellen Patienten zeigt nicht-lineare, synergetische Effekte von eGFR, Albuminurie, Alter, Hypertonie, Diabetes und Lipidstörungen auf kardiovaskuläres Risiko. SGLT2-Inhibitoren, Finerenon und GLP-1-Agonisten bieten Multisystemvorteile.</w:t>
      </w:r>
    </w:p>
    <w:p>
      <w:r>
        <w:rPr>
          <w:b/>
          <w:sz w:val="19"/>
        </w:rPr>
        <w:t xml:space="preserve">Übertragbarkeit: </w:t>
      </w:r>
      <w:r>
        <w:rPr>
          <w:sz w:val="19"/>
        </w:rPr>
        <w:t>Europäische Fachliteratur, kontinuum-basierter Ansatz übertragbar auf deutsches DMP-System</w:t>
      </w:r>
    </w:p>
    <w:p>
      <w:r>
        <w:rPr>
          <w:color w:val="5A7D3A"/>
          <w:sz w:val="18"/>
        </w:rPr>
        <w:t>https://pubmed.ncbi.nlm.nih.gov/42895046/</w:t>
      </w:r>
    </w:p>
    <w:p>
      <w:pPr>
        <w:pStyle w:val="Heading2"/>
      </w:pPr>
      <w:r>
        <w:t>Osteoporose bei COPD: Erkenntnislücke zwischen Wissen und klinischer Praxis</w:t>
      </w:r>
    </w:p>
    <w:p>
      <w:r>
        <w:rPr>
          <w:i/>
          <w:color w:val="666666"/>
          <w:sz w:val="18"/>
        </w:rPr>
        <w:t>Siraj RA et al.  ·  Int J Chron Obstruct Pulmon Dis  ·  14.10.2026  ·  PMID 42894800</w:t>
      </w:r>
    </w:p>
    <w:p>
      <w:r>
        <w:t>Nationale Cross-sectional-Befragung von 977 saudi-arabischen Fachleuten (Hausärzte, Pneumologen, Intensivmediziner) zu Wahrnehmung, Selbstsicherheit und Routinetätigkeit bei Osteoporoserisiko-Assessment bei COPD-Patienten.</w:t>
      </w:r>
    </w:p>
    <w:p>
      <w:r>
        <w:rPr>
          <w:b/>
        </w:rPr>
        <w:t xml:space="preserve">Ergebnis: </w:t>
      </w:r>
      <w:r>
        <w:t>61% berichteten routinemäßiges Osteoporose-Risiko-Screening, aber Umsetzung war inkonsistent; Hauptbarrieren waren Priorisierung respiratorischer Symptome (58,9%), fehlende Klinik-Protokolle (55,1%), begrenzte Konsultationszeit (51,1%) und limitierter Ressourcenzugang (51,1%). Pulmonologen (aOR 1,53), höhere Patientenzahl (10–30 monatlich; aOR 1,70), formale Ausbildung (aOR 1,45) und Selbsteinschätzung (aOR 1,71) waren unabhängig assoziiert mit routinemäßigem Assessment.</w:t>
      </w:r>
    </w:p>
    <w:p>
      <w:r>
        <w:rPr>
          <w:b/>
          <w:sz w:val="19"/>
        </w:rPr>
        <w:t xml:space="preserve">Übertragbarkeit: </w:t>
      </w:r>
      <w:r>
        <w:rPr>
          <w:sz w:val="19"/>
        </w:rPr>
        <w:t>Saudi-Arabien, aber Barrieren-Struktur und Interventionsmöglichkeiten auf deutsches Mehrfacherkrankungs-Screening übertragbar</w:t>
      </w:r>
    </w:p>
    <w:p>
      <w:r>
        <w:rPr>
          <w:color w:val="5A7D3A"/>
          <w:sz w:val="18"/>
        </w:rPr>
        <w:t>https://pubmed.ncbi.nlm.nih.gov/42894800/</w:t>
      </w:r>
    </w:p>
    <w:p>
      <w:pPr>
        <w:pStyle w:val="Heading2"/>
      </w:pPr>
      <w:r>
        <w:t>Neutrophil-Lymphozyten-Ratio bei COPD: Assoziation mit beschleunigtem Lungenfunktionsverlust</w:t>
      </w:r>
    </w:p>
    <w:p>
      <w:r>
        <w:rPr>
          <w:i/>
          <w:color w:val="666666"/>
          <w:sz w:val="18"/>
        </w:rPr>
        <w:t>Xue H et al.  ·  Int J Chron Obstruct Pulmon Dis  ·  14.10.2026  ·  PMID 42894652</w:t>
      </w:r>
    </w:p>
    <w:p>
      <w:r>
        <w:t>Retrospektive Einzelzentrum-Kohortenstudie mit wiederholter Spirometrie zur Assoziation zwischen Ausgangswert des Neutrophil-Lymphozyten-Quotienten (NLR) und jährlicher FEV1-Veränderung bei klinisch stabiler COPD.</w:t>
      </w:r>
    </w:p>
    <w:p>
      <w:r>
        <w:rPr>
          <w:b/>
        </w:rPr>
        <w:t xml:space="preserve">Ergebnis: </w:t>
      </w:r>
      <w:r>
        <w:t>Bei 640 Patienten (2.525 Beobachtungen, Median 22 Monate) war höherer baseline-NLR (pro Verdopplung) nach Schweregrad-Anpassung mit zusätzlichem FEV1-Rückgang von 8,26 mL/Jahr verbunden (95%-KI 2,29–14,23; p=0,0068). Assoziation war modellabhängig und etablierte weder Kausalität noch individuellen Vorhersagewert.</w:t>
      </w:r>
    </w:p>
    <w:p>
      <w:r>
        <w:rPr>
          <w:b/>
          <w:sz w:val="19"/>
        </w:rPr>
        <w:t xml:space="preserve">Übertragbarkeit: </w:t>
      </w:r>
      <w:r>
        <w:rPr>
          <w:sz w:val="19"/>
        </w:rPr>
        <w:t>China (Einzelzentrum), retrograd strukturiert; Entzündungsmarker-Ansatz auf deutsches COPD-Monitoring übertragbar</w:t>
      </w:r>
    </w:p>
    <w:p>
      <w:r>
        <w:rPr>
          <w:color w:val="5A7D3A"/>
          <w:sz w:val="18"/>
        </w:rPr>
        <w:t>https://pubmed.ncbi.nlm.nih.gov/42894652/</w:t>
      </w:r>
    </w:p>
    <w:p>
      <w:pPr>
        <w:pStyle w:val="Heading2"/>
      </w:pPr>
      <w:r>
        <w:t>Asthma-COPD-Überlappung: erhöhte Exazerbationsrate bei Mehrfacherkrankung</w:t>
      </w:r>
    </w:p>
    <w:p>
      <w:r>
        <w:rPr>
          <w:i/>
          <w:color w:val="666666"/>
          <w:sz w:val="18"/>
        </w:rPr>
        <w:t>Athlin Å et al.  ·  Scand J Prim Health Care  ·  18.10.2026  ·  PMID 42894311</w:t>
      </w:r>
    </w:p>
    <w:p>
      <w:r>
        <w:t>Schwedische Kohortenstudie mit Patienten aus Primär- und Sekundärversorgung zur Häufigkeit und Auswirkung von Asthma-COPD-Überlappung auf Exazerbationen, Symptombelastung und Mortalität.</w:t>
      </w:r>
    </w:p>
    <w:p>
      <w:r>
        <w:rPr>
          <w:b/>
        </w:rPr>
        <w:t xml:space="preserve">Ergebnis: </w:t>
      </w:r>
      <w:r>
        <w:t>22% (2005) bzw. 9% (2014) der COPD-Patienten hatten komorbides Asthma; diese zeigten erhöhtes Exazerbationsrisiko (OR 1,58–2,20, p≤0,02), ohne signifikante Unterschiede in der Symptombelastung. Mortalität war nur in der 2014-Kohorte niedriger (HR 0,67, p=0,02). Reduktion der Asthma-COPD-Überlappung deutet auf verbesserte Diagnostik hin.</w:t>
      </w:r>
    </w:p>
    <w:p>
      <w:r>
        <w:rPr>
          <w:b/>
          <w:sz w:val="19"/>
        </w:rPr>
        <w:t xml:space="preserve">Übertragbarkeit: </w:t>
      </w:r>
      <w:r>
        <w:rPr>
          <w:sz w:val="19"/>
        </w:rPr>
        <w:t>Schweden, ambulante/stationäre Struktur vergleichbar mit Deutschland, 17 Jahre Verlauf</w:t>
      </w:r>
    </w:p>
    <w:p>
      <w:r>
        <w:rPr>
          <w:color w:val="5A7D3A"/>
          <w:sz w:val="18"/>
        </w:rPr>
        <w:t>https://pubmed.ncbi.nlm.nih.gov/42894311/</w:t>
      </w:r>
    </w:p>
    <w:p>
      <w:pPr>
        <w:pStyle w:val="Heading2"/>
      </w:pPr>
      <w:r>
        <w:t>CRP-Triglyzerid-Glukose-Index sagt kardio-metabole Mehrfacherkrankung postmenopausaler Frauen voraus</w:t>
      </w:r>
    </w:p>
    <w:p>
      <w:r>
        <w:rPr>
          <w:i/>
          <w:color w:val="666666"/>
          <w:sz w:val="18"/>
        </w:rPr>
        <w:t>Wang L et al.  ·  BMC Cardiovasc Disord  ·  22.07.2026  ·  PMID 42894124</w:t>
      </w:r>
    </w:p>
    <w:p>
      <w:r>
        <w:t>Prospektive nationale chinesische Kohortenstudie an 2.972 postmenopausalen Frauen (≥45 Jahre) ohne baseline-Mehrfacherkrankung (Median-Nachverfolgung 103,5 Monate) zur Assoziation eines kombinierten Entzündungs-Stoffwechsel-Index (CTI) mit neu auftretender kardio-metaboler Mehrfacherkrankung.</w:t>
      </w:r>
    </w:p>
    <w:p>
      <w:r>
        <w:rPr>
          <w:b/>
        </w:rPr>
        <w:t xml:space="preserve">Ergebnis: </w:t>
      </w:r>
      <w:r>
        <w:t>395 Teilnehmer (13,3%) entwickelten neue Mehrfacherkrankung. Jede 1-Punkt-CTI-Erhöhung: Risiko +95% (HR 1,95; 95%-KI 1,66–2,30). Höchstes vs. niedrigstes Quartil: HR 3,91 (95%-KI 2,62–5,82, p-Trend &lt;0,001). CTI-AUC 0,649 überlegen gegenüber TyG (0,616), CRP (0,612) und TG (0,582). Nomogramm (6 LASSO-Variablen) zeigte akzeptable Diskrimination (AUC Training 0,742, Validierung 0,703).</w:t>
      </w:r>
    </w:p>
    <w:p>
      <w:r>
        <w:rPr>
          <w:b/>
          <w:sz w:val="19"/>
        </w:rPr>
        <w:t xml:space="preserve">Übertragbarkeit: </w:t>
      </w:r>
      <w:r>
        <w:rPr>
          <w:sz w:val="19"/>
        </w:rPr>
        <w:t>China, nationales Langzeit-Panel, Entzündungs-Metabolit-Profil für deutsches Präventivscreening adaptierbar</w:t>
      </w:r>
    </w:p>
    <w:p>
      <w:r>
        <w:rPr>
          <w:color w:val="5A7D3A"/>
          <w:sz w:val="18"/>
        </w:rPr>
        <w:t>https://pubmed.ncbi.nlm.nih.gov/42894124/</w:t>
      </w:r>
    </w:p>
    <w:p>
      <w:pPr>
        <w:pStyle w:val="Heading1"/>
      </w:pPr>
      <w:r>
        <w:t>Aufgenommen am 19.10.2026</w:t>
      </w:r>
    </w:p>
    <w:p>
      <w:pPr>
        <w:pStyle w:val="Heading2"/>
      </w:pPr>
      <w:r>
        <w:t>Hämoglobin-Zielbereich 105-125 g/L erhöhte Sterblichkeit bei Hämodialysepatienten nicht</w:t>
      </w:r>
    </w:p>
    <w:p>
      <w:r>
        <w:rPr>
          <w:i/>
          <w:color w:val="666666"/>
          <w:sz w:val="18"/>
        </w:rPr>
        <w:t>Birnie K et al.  ·  Pharmacoepidemiol Drug Saf  ·  Nov. 2026  ·  PMID 42893801</w:t>
      </w:r>
    </w:p>
    <w:p>
      <w:r>
        <w:t>Elektronische Patientendaten aus 10 englischen Nierenzentren (2004-2016) verglichen mittels Target-Trial-Emulation verschiedene Hämoglobin-Zielwerte unter standardisierter Darbepoetindosierung.</w:t>
      </w:r>
    </w:p>
    <w:p>
      <w:r>
        <w:rPr>
          <w:b/>
        </w:rPr>
        <w:t xml:space="preserve">Ergebnis: </w:t>
      </w:r>
      <w:r>
        <w:t>Bei 8.628 Patienten (Medianalter 66 Jahre) zeigten sich für 105-125 g/L vs. 95-115 g/L Hazard Ratio 0,92 (95% KI 0,75-1,12), für &gt;125 g/L vs. 95-115 g/L HR 1,20 (95% KI 0,94-1,54). Ein moderat erhöhtes Ziel war nicht mit erhöhter Mortalität assoziiert, während Werte über 125 g/L das Mortalitätsrisiko möglicherweise steigern.</w:t>
      </w:r>
    </w:p>
    <w:p>
      <w:r>
        <w:rPr>
          <w:b/>
          <w:sz w:val="19"/>
        </w:rPr>
        <w:t xml:space="preserve">Übertragbarkeit: </w:t>
      </w:r>
      <w:r>
        <w:rPr>
          <w:sz w:val="19"/>
        </w:rPr>
        <w:t>UK-Nierenzentren mit vollständiger elektronischer Dokumentation, übertragbar auf Deutschland.</w:t>
      </w:r>
    </w:p>
    <w:p>
      <w:r>
        <w:rPr>
          <w:color w:val="5A7D3A"/>
          <w:sz w:val="18"/>
        </w:rPr>
        <w:t>https://pubmed.ncbi.nlm.nih.gov/42893801/</w:t>
      </w:r>
    </w:p>
    <w:p>
      <w:pPr>
        <w:pStyle w:val="Heading2"/>
      </w:pPr>
      <w:r>
        <w:t>COPD-Last in Asien stieg 2009-2023 um 41 Prozent trotz sinkender altersstandardisierter Raten</w:t>
      </w:r>
    </w:p>
    <w:p>
      <w:r>
        <w:rPr>
          <w:i/>
          <w:color w:val="666666"/>
          <w:sz w:val="18"/>
        </w:rPr>
        <w:t>Luo Q et al.  ·  Int J Chron Obstruct Pulmon Dis  ·  13.10.2026  ·  PMID 42893247</w:t>
      </w:r>
    </w:p>
    <w:p>
      <w:r>
        <w:t>Global Burden of Disease 2023 Analyse für 48 asiatische Länder (2009-2023) quantifizierte Inzidenz, Prävalenz, Todesfälle und DALYs mit Fokus auf demografische Treiber und Ungleichheit nach Sozio-demografischem Index.</w:t>
      </w:r>
    </w:p>
    <w:p>
      <w:r>
        <w:rPr>
          <w:b/>
        </w:rPr>
        <w:t xml:space="preserve">Ergebnis: </w:t>
      </w:r>
      <w:r>
        <w:t>Inzidenzfälle stiegen von 7,74 auf 10,75 Millionen (+38,9%), Prävalenz von 91,88 auf 129,76 Millionen (+41,2%), Todesfälle von 2,11 auf 2,63 Millionen (+24,8%). Altersstandardisierte Raten sanken jedoch in 34-43 der 48 Standorte. Von 522.061 zusätzlichen Todesfällen waren 345.084 auf Bevölkerungswachstum und 933.776 auf Alterung zurückzuführen. Sozioökonomische Konzentration der Todesfalllasten verschärfte sich (SII -69,90 auf -87,22).</w:t>
      </w:r>
    </w:p>
    <w:p>
      <w:r>
        <w:rPr>
          <w:b/>
          <w:sz w:val="19"/>
        </w:rPr>
        <w:t xml:space="preserve">Übertragbarkeit: </w:t>
      </w:r>
      <w:r>
        <w:rPr>
          <w:sz w:val="19"/>
        </w:rPr>
        <w:t>Asien, zeigt versorgungspolitischen Handlungsbedarf durch demografische Lasten unabhängig von Epidemiologie-Verbesserungen.</w:t>
      </w:r>
    </w:p>
    <w:p>
      <w:r>
        <w:rPr>
          <w:color w:val="5A7D3A"/>
          <w:sz w:val="18"/>
        </w:rPr>
        <w:t>https://pubmed.ncbi.nlm.nih.gov/42893247/</w:t>
      </w:r>
    </w:p>
    <w:p>
      <w:pPr>
        <w:pStyle w:val="Heading2"/>
      </w:pPr>
      <w:r>
        <w:t>Niedriges gewichtsadjustiertes Muskelvolumen fördert COPD-Exazerbationen bei niedrigem BMI</w:t>
      </w:r>
    </w:p>
    <w:p>
      <w:r>
        <w:rPr>
          <w:i/>
          <w:color w:val="666666"/>
          <w:sz w:val="18"/>
        </w:rPr>
        <w:t>Zhang Y et al.  ·  Int J Chron Obstruct Pulmon Dis  ·  13.10.2026  ·  PMID 42893075</w:t>
      </w:r>
    </w:p>
    <w:p>
      <w:r>
        <w:t>Querschnittstudie mit 419 COPD-Patienten untersuchte Assoziation zwischen Körperzusammensetzung (traditionell versus gewichtsadjustiert) und häufigen Exazerbationen (≥2 moderat oder ≥1 schwer im Vorjahr).</w:t>
      </w:r>
    </w:p>
    <w:p>
      <w:r>
        <w:rPr>
          <w:b/>
        </w:rPr>
        <w:t xml:space="preserve">Ergebnis: </w:t>
      </w:r>
      <w:r>
        <w:t>Niedriges ASM/BMI war mit häufigen Exazerbationen assoziiert (bereinigtes OR 1,74; 95% KI 1,07-2,87), besonders stark bei BMI &lt;24 kg/m² (aOR 5,66; 95% KI 2,22-17,66). Traditionelle Höhenindizes zeigten keine signifikante Assoziation (aOR 1,52; 95% KI 0,96-2,41).</w:t>
      </w:r>
    </w:p>
    <w:p>
      <w:r>
        <w:rPr>
          <w:b/>
          <w:sz w:val="19"/>
        </w:rPr>
        <w:t xml:space="preserve">Übertragbarkeit: </w:t>
      </w:r>
      <w:r>
        <w:rPr>
          <w:sz w:val="19"/>
        </w:rPr>
        <w:t>China, relevant für Versorgungspraxis: Muskelabbau als therapeutischer Angriffspunkt.</w:t>
      </w:r>
    </w:p>
    <w:p>
      <w:r>
        <w:rPr>
          <w:color w:val="5A7D3A"/>
          <w:sz w:val="18"/>
        </w:rPr>
        <w:t>https://pubmed.ncbi.nlm.nih.gov/42893075/</w:t>
      </w:r>
    </w:p>
    <w:p>
      <w:pPr>
        <w:pStyle w:val="Heading2"/>
      </w:pPr>
      <w:r>
        <w:t>Sehbehinderung reduziert Medikamentenadhärenz bei älteren Chronikern um bis zu 85 Prozent</w:t>
      </w:r>
    </w:p>
    <w:p>
      <w:r>
        <w:rPr>
          <w:i/>
          <w:color w:val="666666"/>
          <w:sz w:val="18"/>
        </w:rPr>
        <w:t>Shen Q et al.  ·  Med Sci Monit  ·  18.10.2026  ·  PMID 42892708</w:t>
      </w:r>
    </w:p>
    <w:p>
      <w:r>
        <w:t>Querschnittsstudie mit 100 Patienten &gt;60 Jahren an geriatrischer Klinik untersuchte Assoziation zwischen Grad der Sehbehinderung und Medikamentenadhärenz bei chronischen Erkrankungen mittels MMAS-8 Skala.</w:t>
      </w:r>
    </w:p>
    <w:p>
      <w:r>
        <w:rPr>
          <w:b/>
        </w:rPr>
        <w:t xml:space="preserve">Ergebnis: </w:t>
      </w:r>
      <w:r>
        <w:t>MMAS-8 Scores sanken von 7,32 (Normalsicht) auf 4,29 bei schwerer Sehbehinderung. Niedrige Adhärenz stieg von 3,7% (normal) auf 45,0% (mild), 71,4% (moderat) und 88,9% (schwer). Bereinigte Odds Ratios: milde Behinderung OR 3,45 (95% KI 1,18-10,13), moderate OR 8,72 (95% KI 2,94-25,83), schwere OR 16,45 (95% KI 4,21-64,23) versus Normalsicht.</w:t>
      </w:r>
    </w:p>
    <w:p>
      <w:r>
        <w:rPr>
          <w:b/>
          <w:sz w:val="19"/>
        </w:rPr>
        <w:t xml:space="preserve">Übertragbarkeit: </w:t>
      </w:r>
      <w:r>
        <w:rPr>
          <w:sz w:val="19"/>
        </w:rPr>
        <w:t>China, patientenschutzrelevant: Sehbehinderung als unerkanntes Adhärenzrisiko in der Praxis.</w:t>
      </w:r>
    </w:p>
    <w:p>
      <w:r>
        <w:rPr>
          <w:color w:val="5A7D3A"/>
          <w:sz w:val="18"/>
        </w:rPr>
        <w:t>https://pubmed.ncbi.nlm.nih.gov/42892708/</w:t>
      </w:r>
    </w:p>
    <w:p>
      <w:pPr>
        <w:pStyle w:val="Heading2"/>
      </w:pPr>
      <w:r>
        <w:t>CFTR-I556V-Variant erhöht COPD-Risiko um 96 Prozent nach Adjustierung</w:t>
      </w:r>
    </w:p>
    <w:p>
      <w:r>
        <w:rPr>
          <w:i/>
          <w:color w:val="666666"/>
          <w:sz w:val="18"/>
        </w:rPr>
        <w:t>Xu H et al.  ·  Int J Chron Obstruct Pulmon Dis  ·  11.10.2026  ·  PMID 42889849</w:t>
      </w:r>
    </w:p>
    <w:p>
      <w:r>
        <w:t>Klinische und experimentelle Studie mit 208 COPD-Patienten und 100 Kontrollen identifizierte CFTR-Genvarianten und untersuchte Auswirkungen der I556V-Variante auf ROS und Mitochondrienfunktion sowie Lungenparameter nach Zigarettenrauch in transgenen Mäusen.</w:t>
      </w:r>
    </w:p>
    <w:p>
      <w:r>
        <w:rPr>
          <w:b/>
        </w:rPr>
        <w:t xml:space="preserve">Ergebnis: </w:t>
      </w:r>
      <w:r>
        <w:t>I556V-Variante zeigte signifikante COPD-Assoziation (P=0,045), mit 2,12-fach erhöhtem Risiko (OR 2,12; 95% KI 1,16-3,86), nach Adjustierung für Alter, Geschlecht und Rauchen OR 1,96 (95% KI 1,01-3,81, +96%). In Mäusen führte I556V zu 23,03% erhöhter Atemwegswanddicke und 48,40% erhöhter Kollagenablagerung nach CS-Exposition mit exazerbierter Inflammation.</w:t>
      </w:r>
    </w:p>
    <w:p>
      <w:r>
        <w:rPr>
          <w:b/>
          <w:sz w:val="19"/>
        </w:rPr>
        <w:t xml:space="preserve">Übertragbarkeit: </w:t>
      </w:r>
      <w:r>
        <w:rPr>
          <w:sz w:val="19"/>
        </w:rPr>
        <w:t>China, Grundlage für genetische Stratifizierung und präventive Interventionen in Hochrisikopopulationen.</w:t>
      </w:r>
    </w:p>
    <w:p>
      <w:r>
        <w:rPr>
          <w:color w:val="5A7D3A"/>
          <w:sz w:val="18"/>
        </w:rPr>
        <w:t>https://pubmed.ncbi.nlm.nih.gov/42889849/</w:t>
      </w:r>
    </w:p>
    <w:p>
      <w:pPr>
        <w:pStyle w:val="Heading2"/>
      </w:pPr>
      <w:r>
        <w:t>Nilotinib senkt neurodegenerative Erkrankungen bei CML-Patienten um 63 Prozent</w:t>
      </w:r>
    </w:p>
    <w:p>
      <w:r>
        <w:rPr>
          <w:i/>
          <w:color w:val="666666"/>
          <w:sz w:val="18"/>
        </w:rPr>
        <w:t>Wittström F et al.  ·  Alzheimers Dement  ·  Okt. 2026  ·  PMID 42860391</w:t>
      </w:r>
    </w:p>
    <w:p>
      <w:r>
        <w:t>Schwedische populationsbasierte Kohortenstudie (2005-2024) verglich Inzidenz neurodegenerativer Erkrankungen bei 1.322 CML-Patienten unter verschiedenen Tyrosinkinasehemmern versus gematcht gesunde Vergleicher.</w:t>
      </w:r>
    </w:p>
    <w:p>
      <w:r>
        <w:rPr>
          <w:b/>
        </w:rPr>
        <w:t xml:space="preserve">Ergebnis: </w:t>
      </w:r>
      <w:r>
        <w:t>Bei 1.188 Imatinib-Nutzern (41 neurodegenerative Events) HR 0,98 (95% KI 0,71-1,36), bei 541 Dasatinib-Nutzern (15 Events) HR 1,18 (95% KI 0,68-2,03), bei 390 Nilotinib-Nutzern (5 Events) HR 0,37 (95% KI 0,15-0,90). Nur Nilotinib zeigte statistisch signifikante Assoziation mit reduzierter neurodegenerativer Erkrankung.</w:t>
      </w:r>
    </w:p>
    <w:p>
      <w:r>
        <w:rPr>
          <w:b/>
          <w:sz w:val="19"/>
        </w:rPr>
        <w:t xml:space="preserve">Übertragbarkeit: </w:t>
      </w:r>
      <w:r>
        <w:rPr>
          <w:sz w:val="19"/>
        </w:rPr>
        <w:t>Skandinavische Kohortendaten mit Universalversicherung, begrenzte Übertragbarkeit wegen Selektionseffekte bei Wirkstoffwahl.</w:t>
      </w:r>
    </w:p>
    <w:p>
      <w:r>
        <w:rPr>
          <w:color w:val="5A7D3A"/>
          <w:sz w:val="18"/>
        </w:rPr>
        <w:t>https://pubmed.ncbi.nlm.nih.gov/42860391/</w:t>
      </w:r>
    </w:p>
    <w:p>
      <w:pPr>
        <w:pStyle w:val="Heading1"/>
      </w:pPr>
      <w:r>
        <w:t>Aufgenommen am 18.10.2026</w:t>
      </w:r>
    </w:p>
    <w:p>
      <w:pPr>
        <w:pStyle w:val="Heading2"/>
      </w:pPr>
      <w:r>
        <w:t>COPD mit erhöhtem Pulsdruck verdoppelt Herzinfarktrisiko in Alter</w:t>
      </w:r>
    </w:p>
    <w:p>
      <w:r>
        <w:rPr>
          <w:i/>
          <w:color w:val="666666"/>
          <w:sz w:val="18"/>
        </w:rPr>
        <w:t>Liu G et al.  ·  Int J Chron Obstruct Pulmon Dis  ·  12.10.2026  ·  PMID 42891288</w:t>
      </w:r>
    </w:p>
    <w:p>
      <w:r>
        <w:t>Prospektive Kohortenstudie an 4183 älteren Chinesen (≥60 Jahre) mit 7-Jahres-Nachverfolgung zum Risiko kardiovaskulärer Ereignisse bei Mehrfacherkrankung (COPD und vaskuläres Altern).</w:t>
      </w:r>
    </w:p>
    <w:p>
      <w:r>
        <w:rPr>
          <w:b/>
        </w:rPr>
        <w:t xml:space="preserve">Ergebnis: </w:t>
      </w:r>
      <w:r>
        <w:t>COPD allein (HR 1,15, 95%-KI 0,84–1,57) und erhöhter Pulsdruck allein (HR 0,93, 95%-KI 0,70–1,25) waren nicht mit kardiovaskulären Ereignissen assoziiert. Beide zusammen zeigten HR 1,86 (95%-KI 1,26–2,76), primär getrieben durch Herzerkrankungen (HR 2,80, 95%-KI 1,94–4,05), nicht Schlaganfälle (HR 0,84, 95%-KI 0,43–1,65). Für Mortalität: HR 2,05 (95%-KI 1,54–2,73) bei beiden Expositionen vs. weder Exposition.</w:t>
      </w:r>
    </w:p>
    <w:p>
      <w:r>
        <w:rPr>
          <w:b/>
          <w:sz w:val="19"/>
        </w:rPr>
        <w:t xml:space="preserve">Übertragbarkeit: </w:t>
      </w:r>
      <w:r>
        <w:rPr>
          <w:sz w:val="19"/>
        </w:rPr>
        <w:t>China, Bevölkerungsstichprobe; Mehrfacherkrankung zentral, strukturelle Vergleichbarkeit begrenzt</w:t>
      </w:r>
    </w:p>
    <w:p>
      <w:r>
        <w:rPr>
          <w:color w:val="5A7D3A"/>
          <w:sz w:val="18"/>
        </w:rPr>
        <w:t>https://pubmed.ncbi.nlm.nih.gov/42891288/</w:t>
      </w:r>
    </w:p>
    <w:p>
      <w:pPr>
        <w:pStyle w:val="Heading2"/>
      </w:pPr>
      <w:r>
        <w:t>COPD-assoziierte Herzinsuffizienz stieg weltweit um 40%, Projektion bis 2050 weiter aufwärts</w:t>
      </w:r>
    </w:p>
    <w:p>
      <w:r>
        <w:rPr>
          <w:i/>
          <w:color w:val="666666"/>
          <w:sz w:val="18"/>
        </w:rPr>
        <w:t>Liu C et al.  ·  Int J Chron Obstruct Pulmon Dis  ·  12.10.2026  ·  PMID 42891260</w:t>
      </w:r>
    </w:p>
    <w:p>
      <w:r>
        <w:t>Systematische Analyse der Global Burden of Disease Study 2021 zu Prävalenz und Krankheitslast von COPD-assoziierter Herzinsuffizienz 1990–2021 mit Bayes'scher Projektion bis 2050 nach Geschlecht, Alter, Region und SDI-Kategorie.</w:t>
      </w:r>
    </w:p>
    <w:p>
      <w:r>
        <w:rPr>
          <w:b/>
        </w:rPr>
        <w:t xml:space="preserve">Ergebnis: </w:t>
      </w:r>
      <w:r>
        <w:t>2021: 3,61 Mio. Fälle COPD-assoziierte Herzinsuffizienz (1,4-facher Anstieg seit 1990). Altersstandarisierte Prävalenzrate und Years Lived with Disability stiegen insgesamt. Absolute Fälle stiegen in beiden Geschlechtern; altersstandarisierte Raten fielen bei Männern, stiegen bei Frauen. Lastspitze Alter 70–74 Jahre. Nur High-SDI-Regionen zeigten steigende altersstandarisierte Raten; Osteuropa fiel deutlich. Projektion 2022–2050: Anhaltender Anstieg altersstandarisierter Prävalenz und Krankheitslast, leicht höher bei Frauen.</w:t>
      </w:r>
    </w:p>
    <w:p>
      <w:r>
        <w:rPr>
          <w:b/>
          <w:sz w:val="19"/>
        </w:rPr>
        <w:t xml:space="preserve">Übertragbarkeit: </w:t>
      </w:r>
      <w:r>
        <w:rPr>
          <w:sz w:val="19"/>
        </w:rPr>
        <w:t>Globale GBD-Daten, Mehrfacherkrankung zentral, strukturelle Übertragbarkeit begrenzt</w:t>
      </w:r>
    </w:p>
    <w:p>
      <w:r>
        <w:rPr>
          <w:color w:val="5A7D3A"/>
          <w:sz w:val="18"/>
        </w:rPr>
        <w:t>https://pubmed.ncbi.nlm.nih.gov/42891260/</w:t>
      </w:r>
    </w:p>
    <w:p>
      <w:pPr>
        <w:pStyle w:val="Heading2"/>
      </w:pPr>
      <w:r>
        <w:t>CIDP in Saudi-Arabien: 89% erreichten klinische Besserung, 42% Relapse nach 11 Monaten</w:t>
      </w:r>
    </w:p>
    <w:p>
      <w:r>
        <w:rPr>
          <w:i/>
          <w:color w:val="666666"/>
          <w:sz w:val="18"/>
        </w:rPr>
        <w:t>Alhammad RM et al.  ·  Front Neurol  ·  01.10.2026  ·  PMID 42890075</w:t>
      </w:r>
    </w:p>
    <w:p>
      <w:r>
        <w:t>Multizentrische retrospektive Kohorte von 36 Patienten (18 m, 18 w) mit CIDP aus 5 Krankenhäusern in Saudi-Arabien (2014–2025) zur Charakterisierung Demografie, Klinik, Elektrophysiologie und Therapieergebnisse.</w:t>
      </w:r>
    </w:p>
    <w:p>
      <w:r>
        <w:rPr>
          <w:b/>
        </w:rPr>
        <w:t xml:space="preserve">Ergebnis: </w:t>
      </w:r>
      <w:r>
        <w:t>33 CIDP, 3 mögliche CIDP, Onset-Alter Durchschnitt 33 Jahre (Erwachsene: 40 Jahre). Typisch CIDP 72%, distal 8%, motorisch-dominiert 8%, multifokal 8%. Primär IVIG (42%) oder orale Steroide (33%) zur Erhaltung. Über 55 Monate: 89% erreichten mittlere Besserung im INCAT-Score (3,7-Punkte-Änderung) und 83% im MRCSS (11,9-Punkte-Änderung, p&lt;0,001). Relapse bei 42% nach mittleren 11 Monaten, meist durch suboptimale Therapie oder Nichtkompliance.</w:t>
      </w:r>
    </w:p>
    <w:p>
      <w:r>
        <w:rPr>
          <w:b/>
          <w:sz w:val="19"/>
        </w:rPr>
        <w:t xml:space="preserve">Übertragbarkeit: </w:t>
      </w:r>
      <w:r>
        <w:rPr>
          <w:sz w:val="19"/>
        </w:rPr>
        <w:t>Saudi-Arabien, multizentrische klinische Kohortendaten; regionales Benchmark für künftige Studien</w:t>
      </w:r>
    </w:p>
    <w:p>
      <w:r>
        <w:rPr>
          <w:color w:val="5A7D3A"/>
          <w:sz w:val="18"/>
        </w:rPr>
        <w:t>https://pubmed.ncbi.nlm.nih.gov/42890075/</w:t>
      </w:r>
    </w:p>
    <w:p>
      <w:pPr>
        <w:pStyle w:val="Heading2"/>
      </w:pPr>
      <w:r>
        <w:t>Hohes Parathormon vor Transplantation sagte persistierende Hyperparathyreose voraus</w:t>
      </w:r>
    </w:p>
    <w:p>
      <w:r>
        <w:rPr>
          <w:i/>
          <w:color w:val="666666"/>
          <w:sz w:val="18"/>
        </w:rPr>
        <w:t>Lam KH et al.  ·  Medicine (Baltimore)  ·  16.10.2026  ·  PMID 42888627</w:t>
      </w:r>
    </w:p>
    <w:p>
      <w:r>
        <w:t>Prospektive Kohorte von 104 Patienten mit Nierenterminalstadium nach Nierentransplantation zur Identifikation von Risikofaktoren für persistierende Hyperparathyreose (PTH ≥150 pg/mL) 6 Monate nach Transplantation.</w:t>
      </w:r>
    </w:p>
    <w:p>
      <w:r>
        <w:rPr>
          <w:b/>
        </w:rPr>
        <w:t xml:space="preserve">Ergebnis: </w:t>
      </w:r>
      <w:r>
        <w:t>Prävalenz persistierende Hyperparathyreose: 58,65%. Patienten mit persistierender Hyperparathyreose hatten signifikant höhere Baseline-PTH (Median 489 vs. 273 pg/mL, p&lt;0,001) und alkalische Phosphatase (Median 102,0 vs. 89,5 U/L, p=0,025). Längere Dialysedauer war assoziiert (Median 2,0 vs. 1,0 Jahre, p&lt;0,001). Höheres Baseline-PTH war unabhängig assoziiert mit persistierender Hyperparathyreose; Dialysedauer nur signifikant ≥1 Jahr.</w:t>
      </w:r>
    </w:p>
    <w:p>
      <w:r>
        <w:rPr>
          <w:b/>
          <w:sz w:val="19"/>
        </w:rPr>
        <w:t xml:space="preserve">Übertragbarkeit: </w:t>
      </w:r>
      <w:r>
        <w:rPr>
          <w:sz w:val="19"/>
        </w:rPr>
        <w:t>Vietnam, prospektive Klinikdaten; strukturelle Vergleichbarkeit eingeschränkt</w:t>
      </w:r>
    </w:p>
    <w:p>
      <w:r>
        <w:rPr>
          <w:color w:val="5A7D3A"/>
          <w:sz w:val="18"/>
        </w:rPr>
        <w:t>https://pubmed.ncbi.nlm.nih.gov/42888627/</w:t>
      </w:r>
    </w:p>
    <w:p>
      <w:pPr>
        <w:pStyle w:val="Heading2"/>
      </w:pPr>
      <w:r>
        <w:t>Medicare Advantage verschärft Zugang zu Nierendialyse und Transplantation</w:t>
      </w:r>
    </w:p>
    <w:p>
      <w:r>
        <w:rPr>
          <w:i/>
          <w:color w:val="666666"/>
          <w:sz w:val="18"/>
        </w:rPr>
        <w:t>Tyler DA et al.  ·  Health Serv Res  ·  Okt. 2026  ·  PMID 42888180</w:t>
      </w:r>
    </w:p>
    <w:p>
      <w:r>
        <w:t>Qualitative Studie mit 48 Interviews (56 Teilnehmende) aus Krankenversicherungsplänen, Dialyseanbieter und Nierenprogrammen in USA zur Versorgungszugang bei Nierenschädigung Terminal (ESRD) unter Medicare Advantage seit 2021.</w:t>
      </w:r>
    </w:p>
    <w:p>
      <w:r>
        <w:rPr>
          <w:b/>
        </w:rPr>
        <w:t xml:space="preserve">Ergebnis: </w:t>
      </w:r>
      <w:r>
        <w:t>Perspektiven divergierten zwischen Organisationen: Große Dialyseanbieter berichteten keine Zugangsbarrieren, kleine Anbieter beschrieben, dass Patienten zu weiter entfernten In-Network-Einrichtungen fahren mussten. Patienten waren sich Netzwerk-Restriktionen nicht bewusst. Versicherer beschrieben Beschränkungen auf «Centers of Excellence» für Transplantation; andere Teilnehmende berichteten, diese Restriktionen behinderten Transplantationszugang. Zusatzleistungen wurden von Führungskräften als wertvoll dargestellt, von Frontpersonal aber als weniger umfassend als angekündigt beschrieben.</w:t>
      </w:r>
    </w:p>
    <w:p>
      <w:r>
        <w:rPr>
          <w:b/>
          <w:sz w:val="19"/>
        </w:rPr>
        <w:t xml:space="preserve">Übertragbarkeit: </w:t>
      </w:r>
      <w:r>
        <w:rPr>
          <w:sz w:val="19"/>
        </w:rPr>
        <w:t>USA, Medicare Advantage; Übertragbarkeit auf deutsche Versichertenversorgung gering</w:t>
      </w:r>
    </w:p>
    <w:p>
      <w:r>
        <w:rPr>
          <w:color w:val="5A7D3A"/>
          <w:sz w:val="18"/>
        </w:rPr>
        <w:t>https://pubmed.ncbi.nlm.nih.gov/42888180/</w:t>
      </w:r>
    </w:p>
    <w:p>
      <w:pPr>
        <w:pStyle w:val="Heading2"/>
      </w:pPr>
      <w:r>
        <w:t>IL-6-Spiegeldynamik, nicht Baseline, zeigte Ansprechen auf B-Zell-Therapie bei MS</w:t>
      </w:r>
    </w:p>
    <w:p>
      <w:r>
        <w:rPr>
          <w:i/>
          <w:color w:val="666666"/>
          <w:sz w:val="18"/>
        </w:rPr>
        <w:t>Kölsche T et al.  ·  BMC Neurol  ·  21.08.2026  ·  PMID 42629559</w:t>
      </w:r>
    </w:p>
    <w:p>
      <w:r>
        <w:t>Retrospektive Kohortenstudie an 73 MS-Patienten (30 schubförmig-remittierend, 43 primär progredient) unter Ocrelizumab zur Validierung von Baseline-IL-6 und longitudinalen IL-6-Spiegeln als Biomarker für Therapieerfolg über 24 Monate.</w:t>
      </w:r>
    </w:p>
    <w:p>
      <w:r>
        <w:rPr>
          <w:b/>
        </w:rPr>
        <w:t xml:space="preserve">Ergebnis: </w:t>
      </w:r>
      <w:r>
        <w:t>Baseline-IL-6 unterschied sich nicht zwischen MS-Patienten und gesunden Kontrollen (p=0,178). Baseline-IL-6 war kein unabhängiger Prädiktor für Krankheitsaktivität (HR 1,83, 95%-KI 0,73–4,61, p=0,989). Longitudinal: Patienten, die NEDA-3 (No Evidence of Disease Activity) erhielten, zeigten 50% IL-6-Reduktion nach 12 Monaten (mittlere Änderung −1,30 pg/mL, p=0,0318); Verlust von NEDA-3 ging mit stabilen IL-6-Werten einher (0,09 pg/mL). Schlussfolgerung: Dynamische IL-6-Spiegel, nicht statische Baseline, reflektieren Therapieantwort besser.</w:t>
      </w:r>
    </w:p>
    <w:p>
      <w:r>
        <w:rPr>
          <w:b/>
          <w:sz w:val="19"/>
        </w:rPr>
        <w:t xml:space="preserve">Übertragbarkeit: </w:t>
      </w:r>
      <w:r>
        <w:rPr>
          <w:sz w:val="19"/>
        </w:rPr>
        <w:t>Deutschland (Düsseldorf), klinische Routinedaten MS-Zentren, vergleichbares System</w:t>
      </w:r>
    </w:p>
    <w:p>
      <w:r>
        <w:rPr>
          <w:color w:val="5A7D3A"/>
          <w:sz w:val="18"/>
        </w:rPr>
        <w:t>https://pubmed.ncbi.nlm.nih.gov/42629559/</w:t>
      </w:r>
    </w:p>
    <w:p>
      <w:pPr>
        <w:pStyle w:val="Heading1"/>
      </w:pPr>
      <w:r>
        <w:t>Aufgenommen am 17.10.2026</w:t>
      </w:r>
    </w:p>
    <w:p>
      <w:pPr>
        <w:pStyle w:val="Heading2"/>
      </w:pPr>
      <w:r>
        <w:t>Nierentransplantation verbessert Lebensqualität deutlich auch in Ländern mit niedrigem Einkommen</w:t>
      </w:r>
    </w:p>
    <w:p>
      <w:r>
        <w:rPr>
          <w:i/>
          <w:color w:val="666666"/>
          <w:sz w:val="18"/>
        </w:rPr>
        <w:t>Jafry NH et al.  ·  Exp Clin Transplant  ·  Sept. 2026  ·  PMID 42885702</w:t>
      </w:r>
    </w:p>
    <w:p>
      <w:r>
        <w:t>Querschnittstudie mit 205 erwachsenen Nierentransplantatempfängern (≥1 Jahr nach Transplantation) in Pakistan zu gesundheitsbezogener Lebensqualität mittels SF-36.</w:t>
      </w:r>
    </w:p>
    <w:p>
      <w:r>
        <w:rPr>
          <w:b/>
        </w:rPr>
        <w:t xml:space="preserve">Ergebnis: </w:t>
      </w:r>
      <w:r>
        <w:t>SF-36-Durchschnittswert 99,5±4,81 (hohe Lebensqualität). Körperfunktion 96,8±8,5 und soziale Funktion 95,5±15,7 besonders hoch; Allgemeingesundheitswahrnehmung niedriger (82,5±22,5). Männliche Patienten hatten bessere körperliche Funktion als weibliche (p=0,031). Strukturierte Transplantprogramme wirksam auch unter Ressourcenmangel; geschlechtsspezifische Nachsorge empfohlen.</w:t>
      </w:r>
    </w:p>
    <w:p>
      <w:r>
        <w:rPr>
          <w:b/>
          <w:sz w:val="19"/>
        </w:rPr>
        <w:t xml:space="preserve">Übertragbarkeit: </w:t>
      </w:r>
      <w:r>
        <w:rPr>
          <w:sz w:val="19"/>
        </w:rPr>
        <w:t>Pakistan; begrenzt auf ähnlich strukturierte Gesundheitssysteme ohne Versicherungsschutz</w:t>
      </w:r>
    </w:p>
    <w:p>
      <w:r>
        <w:rPr>
          <w:color w:val="5A7D3A"/>
          <w:sz w:val="18"/>
        </w:rPr>
        <w:t>https://pubmed.ncbi.nlm.nih.gov/42885702/</w:t>
      </w:r>
    </w:p>
    <w:p>
      <w:pPr>
        <w:pStyle w:val="Heading2"/>
      </w:pPr>
      <w:r>
        <w:t>Polypharmaka-Intensität erhöht Funktionsbehinderung bei Mehrfacherkrankung: 5-Jahres-Longitudinalstudie in China</w:t>
      </w:r>
    </w:p>
    <w:p>
      <w:r>
        <w:rPr>
          <w:i/>
          <w:color w:val="666666"/>
          <w:sz w:val="18"/>
        </w:rPr>
        <w:t>Wang QC et al.  ·  Geriatr Gerontol Int  ·  Okt. 2026  ·  PMID 42885111</w:t>
      </w:r>
    </w:p>
    <w:p>
      <w:r>
        <w:t>Längsschnittstudie mit 7.477 chinesischen Teilnehmern ≥45 Jahren mit ≥2 chronischen Erkrankungen (CHARLS 2015–2020) zum Zusammenhang zwischen multimorbidity-adjusted pharmacotherapy intensity (MA-PI) und funktioneller Behinderung.</w:t>
      </w:r>
    </w:p>
    <w:p>
      <w:r>
        <w:rPr>
          <w:b/>
        </w:rPr>
        <w:t xml:space="preserve">Ergebnis: </w:t>
      </w:r>
      <w:r>
        <w:t>2020: 33,5% mit ADL-Behinderung, 22,8% mit incident ADL-Behinderung, 26,3% mit Hospitalisierung. Höhere MA-PI (Q3 vs. Q1): OR 1,21 (95%-KI 1,01–1,44) für ADL-Behinderung; Q4: OR 1,28 (95%-KI 1,07–1,53). Incident disability ohne Baseline-Behinderung: Q4 OR 1,32 (95%-KI 1,06–1,64). Hospitalisierung Q3/Q4: OR 1,24/1,29. MA-PI kann Überbehandlung und Funktionsverlust in der Population identifizieren.</w:t>
      </w:r>
    </w:p>
    <w:p>
      <w:r>
        <w:rPr>
          <w:b/>
          <w:sz w:val="19"/>
        </w:rPr>
        <w:t xml:space="preserve">Übertragbarkeit: </w:t>
      </w:r>
      <w:r>
        <w:rPr>
          <w:sz w:val="19"/>
        </w:rPr>
        <w:t>China; Mehrfacherkrankung und Polypharmaka-Problematik universal, Übertragung auf deutsche Kohorte sinnvoll</w:t>
      </w:r>
    </w:p>
    <w:p>
      <w:r>
        <w:rPr>
          <w:color w:val="5A7D3A"/>
          <w:sz w:val="18"/>
        </w:rPr>
        <w:t>https://pubmed.ncbi.nlm.nih.gov/42885111/</w:t>
      </w:r>
    </w:p>
    <w:p>
      <w:pPr>
        <w:pStyle w:val="Heading2"/>
      </w:pPr>
      <w:r>
        <w:t>Mehrfacherkrankung im Krankenhaus: Was erschwert Entscheidungen bei komplexen Patienten</w:t>
      </w:r>
    </w:p>
    <w:p>
      <w:r>
        <w:rPr>
          <w:i/>
          <w:color w:val="666666"/>
          <w:sz w:val="18"/>
        </w:rPr>
        <w:t>Pretorius S et al.  ·  BMC Med  ·  16.10.2026  ·  PMID 42881454</w:t>
      </w:r>
    </w:p>
    <w:p>
      <w:r>
        <w:t>Qualitative Studie mit 40 Klinikstaffmitarbeitern in England zu Entscheidungsfindung bei hospitalisierten Patienten mit Mehrfacherkrankung.</w:t>
      </w:r>
    </w:p>
    <w:p>
      <w:r>
        <w:rPr>
          <w:b/>
        </w:rPr>
        <w:t xml:space="preserve">Ergebnis: </w:t>
      </w:r>
      <w:r>
        <w:t>Personalentscheidungen werden durch komplexe Patientenprofile, Systemdruck und inflexible Strukturen behindert. Ärzte nutzen Heuristiken und relationale Strategien zur Risikominderung, berichten aber, dass compensatory work allein unzureichend ist. Systemische Änderungen – bessere Gemeindeversorgung, generalistisches Fachwissen, flexible Versorgungspfade – könnten helfen.</w:t>
      </w:r>
    </w:p>
    <w:p>
      <w:r>
        <w:rPr>
          <w:b/>
          <w:sz w:val="19"/>
        </w:rPr>
        <w:t xml:space="preserve">Übertragbarkeit: </w:t>
      </w:r>
      <w:r>
        <w:rPr>
          <w:sz w:val="19"/>
        </w:rPr>
        <w:t>England, NHS-System; übertragbar auf deutsche Kliniken mit ähnlicher Spezialisierungslogik</w:t>
      </w:r>
    </w:p>
    <w:p>
      <w:r>
        <w:rPr>
          <w:color w:val="5A7D3A"/>
          <w:sz w:val="18"/>
        </w:rPr>
        <w:t>https://pubmed.ncbi.nlm.nih.gov/42881454/</w:t>
      </w:r>
    </w:p>
    <w:p>
      <w:pPr>
        <w:pStyle w:val="Heading2"/>
      </w:pPr>
      <w:r>
        <w:t>Patientenerfahrung mit Mehrfacherkrankung im Krankenhaus: Spezialisierung als Hindernis</w:t>
      </w:r>
    </w:p>
    <w:p>
      <w:r>
        <w:rPr>
          <w:i/>
          <w:color w:val="666666"/>
          <w:sz w:val="18"/>
        </w:rPr>
        <w:t>Bellass S et al.  ·  BMC Med  ·  16.10.2026  ·  PMID 42881406</w:t>
      </w:r>
    </w:p>
    <w:p>
      <w:r>
        <w:t>Qualitative Studie mit 44 hospitalisierten Patienten (44 mit 2–11 Erkrankungen) in England zu deren Versorgungserfahrung.</w:t>
      </w:r>
    </w:p>
    <w:p>
      <w:r>
        <w:rPr>
          <w:b/>
        </w:rPr>
        <w:t xml:space="preserve">Ergebnis: </w:t>
      </w:r>
      <w:r>
        <w:t>Patienten erleben Krankenhaus als Spezialistenumgebung, die auf Einzelerkrankungen ausgerichtet ist. Positive Versorgung hängt von Alignment zwischen Kliniker- und Patientenwissen ab. Organisatorische Barrieren gegen holistische Betreuung wahrgenommen. Empfehlung: Einbezug von Patient-Expertise in Entscheidungsprozesse; flexibles Servicedesign erforderlich.</w:t>
      </w:r>
    </w:p>
    <w:p>
      <w:r>
        <w:rPr>
          <w:b/>
          <w:sz w:val="19"/>
        </w:rPr>
        <w:t xml:space="preserve">Übertragbarkeit: </w:t>
      </w:r>
      <w:r>
        <w:rPr>
          <w:sz w:val="19"/>
        </w:rPr>
        <w:t>England, NHS-Universitätskliniken; Struktur- und Koordinationsprobleme vergleichbar mit deutschen Klinikabläufen</w:t>
      </w:r>
    </w:p>
    <w:p>
      <w:r>
        <w:rPr>
          <w:color w:val="5A7D3A"/>
          <w:sz w:val="18"/>
        </w:rPr>
        <w:t>https://pubmed.ncbi.nlm.nih.gov/42881406/</w:t>
      </w:r>
    </w:p>
    <w:p>
      <w:pPr>
        <w:pStyle w:val="Heading2"/>
      </w:pPr>
      <w:r>
        <w:t>Atemmuskelkraft prognostiziert Symptomverschlechterung bei COPD besser als Standard-Spirometrie</w:t>
      </w:r>
    </w:p>
    <w:p>
      <w:r>
        <w:rPr>
          <w:i/>
          <w:color w:val="666666"/>
          <w:sz w:val="18"/>
        </w:rPr>
        <w:t>Niu M et al.  ·  Clin Respir J  ·  Okt. 2026  ·  PMID 42878658</w:t>
      </w:r>
    </w:p>
    <w:p>
      <w:r>
        <w:t>Retrospektive Kohortenstudie mit 203 stabilen COPD-Patienten zur Vorhersage klinisch signifikanter CAT-Score-Verschlechterung (≥2 Punkte/12 Monate) mittels Atemmuskelkraft.</w:t>
      </w:r>
    </w:p>
    <w:p>
      <w:r>
        <w:rPr>
          <w:b/>
        </w:rPr>
        <w:t xml:space="preserve">Ergebnis: </w:t>
      </w:r>
      <w:r>
        <w:t>62 Patienten (30,5%) erlebten CAT-Verschlechterung. Niedrigere FEV₁%-Vorhersage, maximale inspiratorische Druckfunktion (MIP) und Zwerchfellverdickungsfraktion (DTF) waren protektiv. Modell mit MIP/DTF: AUC 0,873 (95%-KI 0,822–0,924), nach Optimismus-Korrektur 0,859. MIP/DTF erhöhten AUC von 0,801 auf 0,873 (NRI 0,527, IDI 0,058). Externe Validierung erforderlich.</w:t>
      </w:r>
    </w:p>
    <w:p>
      <w:r>
        <w:rPr>
          <w:b/>
          <w:sz w:val="19"/>
        </w:rPr>
        <w:t xml:space="preserve">Übertragbarkeit: </w:t>
      </w:r>
      <w:r>
        <w:rPr>
          <w:sz w:val="19"/>
        </w:rPr>
        <w:t>China; Atemmuskelprüfung in allen Ländern möglich, Übertragbarkeit des Prognose-Modells offen</w:t>
      </w:r>
    </w:p>
    <w:p>
      <w:r>
        <w:rPr>
          <w:color w:val="5A7D3A"/>
          <w:sz w:val="18"/>
        </w:rPr>
        <w:t>https://pubmed.ncbi.nlm.nih.gov/42878658/</w:t>
      </w:r>
    </w:p>
    <w:p>
      <w:pPr>
        <w:pStyle w:val="Heading2"/>
      </w:pPr>
      <w:r>
        <w:t>Akutes Nierenschädigungssyndrom nach akutem Nierenversagen: 45,6% entwickeln Chronizität innerhalb von 90 Tagen</w:t>
      </w:r>
    </w:p>
    <w:p>
      <w:r>
        <w:rPr>
          <w:i/>
          <w:color w:val="666666"/>
          <w:sz w:val="18"/>
        </w:rPr>
        <w:t>Hu S et al.  ·  Ren Fail  ·  15.10.2026  ·  PMID 42876246</w:t>
      </w:r>
    </w:p>
    <w:p>
      <w:r>
        <w:t>Retrospektive Kohortenstudie mit 23.868 erwachsenen Patienten nach mindestens einer AKI-Episode (2015–2024) in China zur Inzidenz und Prognose des Acute Kidney Disease (AKD).</w:t>
      </w:r>
    </w:p>
    <w:p>
      <w:r>
        <w:rPr>
          <w:b/>
        </w:rPr>
        <w:t xml:space="preserve">Ergebnis: </w:t>
      </w:r>
      <w:r>
        <w:t>10.884 von 23.868 Patienten (45,6%) entwickelten AKD. Unabhängige Risikofaktoren: hohes Alter, Hypertonie, Herzinsuffizienz, Zirrhose, Diuretikagebrauch, höheres AKI-Stadium, Dialyse-Bedarf. Unter 6.597 Patienten ohne vorbestehende CKD entwickelten 19,8% de novo CKD (HR 1,92; 95%-KI 1,70–2,17). Frühe Erkennung und Zielinterventionen für Risikopatienten essenziell.</w:t>
      </w:r>
    </w:p>
    <w:p>
      <w:r>
        <w:rPr>
          <w:b/>
          <w:sz w:val="19"/>
        </w:rPr>
        <w:t xml:space="preserve">Übertragbarkeit: </w:t>
      </w:r>
      <w:r>
        <w:rPr>
          <w:sz w:val="19"/>
        </w:rPr>
        <w:t>China; Datengründung und Risikofaktoren auf nicht-europäische Population bezogen</w:t>
      </w:r>
    </w:p>
    <w:p>
      <w:r>
        <w:rPr>
          <w:color w:val="5A7D3A"/>
          <w:sz w:val="18"/>
        </w:rPr>
        <w:t>https://pubmed.ncbi.nlm.nih.gov/42876246/</w:t>
      </w:r>
    </w:p>
    <w:p>
      <w:pPr>
        <w:pStyle w:val="Heading2"/>
      </w:pPr>
      <w:r>
        <w:t>Antivirale Therapie bei HBV-HCC untergenutzt: 3- und 5-Jahres-Überlebensraten um 20% höher mit Behandlung</w:t>
      </w:r>
    </w:p>
    <w:p>
      <w:r>
        <w:rPr>
          <w:i/>
          <w:color w:val="666666"/>
          <w:sz w:val="18"/>
        </w:rPr>
        <w:t>Kudaravalli S et al.  ·  J Viral Hepat  ·  Nov. 2026  ·  PMID 42876044</w:t>
      </w:r>
    </w:p>
    <w:p>
      <w:r>
        <w:t>Systematischer Review und Meta-Analyse von 78 Studien (68.243 Patienten, 2006–2024) zur Nutzung von Nukleosid(t)id-Analoga und Überleben bei HBV-assoziiertem hepatozellulärem Karzinom.</w:t>
      </w:r>
    </w:p>
    <w:p>
      <w:r>
        <w:rPr>
          <w:b/>
        </w:rPr>
        <w:t xml:space="preserve">Ergebnis: </w:t>
      </w:r>
      <w:r>
        <w:t>Gepoolte antivirale Behandlungsrate 53,1% (52 Studien, 41.345 Patienten); nur 17,2% erhielten Therapie vor HCC-Diagnose. Behandelte vs. Unbehandelte: 3-Jahres-OS 80,4% vs. 59,2% (p&lt;0,01), 5-Jahres-OS 72,1% vs. 46,8% (p&lt;0,01). Bei inaktivem HCC 5-Jahres-OS 78,0% vs. 56,4% (p&lt;0,01). Antivirale Therapie bleibt unabhängig mit verbessertem 5-Jahres-Überleben assoziiert.</w:t>
      </w:r>
    </w:p>
    <w:p>
      <w:r>
        <w:rPr>
          <w:b/>
          <w:sz w:val="19"/>
        </w:rPr>
        <w:t xml:space="preserve">Übertragbarkeit: </w:t>
      </w:r>
      <w:r>
        <w:rPr>
          <w:sz w:val="19"/>
        </w:rPr>
        <w:t>Globale Daten; Versorgungslücke universal, Kosteneffektivität muss regional geklärt werden</w:t>
      </w:r>
    </w:p>
    <w:p>
      <w:r>
        <w:rPr>
          <w:color w:val="5A7D3A"/>
          <w:sz w:val="18"/>
        </w:rPr>
        <w:t>https://pubmed.ncbi.nlm.nih.gov/42876044/</w:t>
      </w:r>
    </w:p>
    <w:p>
      <w:pPr>
        <w:pStyle w:val="Heading1"/>
      </w:pPr>
      <w:r>
        <w:t>Aufgenommen am 16.10.2026</w:t>
      </w:r>
    </w:p>
    <w:p>
      <w:pPr>
        <w:pStyle w:val="Heading2"/>
      </w:pPr>
      <w:r>
        <w:t>α1-Antitrypsin-Mangel unterdiagnostiziert: Testung bei nur 5,8 % der COPD-Patienten</w:t>
      </w:r>
    </w:p>
    <w:p>
      <w:r>
        <w:rPr>
          <w:i/>
          <w:color w:val="666666"/>
          <w:sz w:val="18"/>
        </w:rPr>
        <w:t>Baldomero AK et al.  ·  JAMA Netw Open  ·  01.10.2026  ·  PMID 42879152</w:t>
      </w:r>
    </w:p>
    <w:p>
      <w:r>
        <w:t>Retrospektive multizentrische Kohortenstudie mit 2.384.913 Personen mit COPD/Asthma aus US-Veteranensystem 2020–2024 zur Testungsrate und Therapie des α1-Antitrypsin-Mangels und deren Ungleichverteilung.</w:t>
      </w:r>
    </w:p>
    <w:p>
      <w:r>
        <w:rPr>
          <w:b/>
        </w:rPr>
        <w:t xml:space="preserve">Ergebnis: </w:t>
      </w:r>
      <w:r>
        <w:t>Von 2.384.913 Patienten wurden 138.278 (5,8 %) getestet; von 8.564 Diagnosefällen erhielten nur 320 (3,7 %) Augmentationstherapie. Assoziationen: höhere Testung mit Zirrhose (aOR 6,40; 95%-KI: 6,29–6,51) und Bronchiektasen (aOR 3,73; 95%-KI: 3,59–3,87). Niedrigere Testung: höheres Alter, aktiver Tabakkonsum, längere Anfahrtszeiten (&gt;90 vs. ≤30 min: aOR 0,63). Disparitäten nach Ethnizität und sozioökonomischem Status.</w:t>
      </w:r>
    </w:p>
    <w:p>
      <w:r>
        <w:rPr>
          <w:b/>
          <w:sz w:val="19"/>
        </w:rPr>
        <w:t xml:space="preserve">Übertragbarkeit: </w:t>
      </w:r>
      <w:r>
        <w:rPr>
          <w:sz w:val="19"/>
        </w:rPr>
        <w:t>USA – Befund der Unterdiagnose und Ungleichverteilung ist grundsätzlich übertragbar; System unterscheidet sich erheblich.</w:t>
      </w:r>
    </w:p>
    <w:p>
      <w:r>
        <w:rPr>
          <w:color w:val="5A7D3A"/>
          <w:sz w:val="18"/>
        </w:rPr>
        <w:t>https://pubmed.ncbi.nlm.nih.gov/42879152/</w:t>
      </w:r>
    </w:p>
    <w:p>
      <w:pPr>
        <w:pStyle w:val="Heading2"/>
      </w:pPr>
      <w:r>
        <w:t>Glukoseverwertung sagt Mehrfacherkrankung besser voraus als andere Marker</w:t>
      </w:r>
    </w:p>
    <w:p>
      <w:r>
        <w:rPr>
          <w:i/>
          <w:color w:val="666666"/>
          <w:sz w:val="18"/>
        </w:rPr>
        <w:t>Wang Z et al.  ·  Front Endocrinol (Lausanne)  ·  30.09.2026  ·  PMID 42877036</w:t>
      </w:r>
    </w:p>
    <w:p>
      <w:r>
        <w:t>Longitudinale Kohortenstudie mit 6.407 chinesischen Teilnehmern (45–79 Jahre) aus CHARLS 2011–2020 zur Vorhersage von kardiometabolischer Mehrfacherkrankung (mind. 2 von: Diabetes, Herzerkrankung, Schlaganfall) mittels eGDR, TyG und AIP.</w:t>
      </w:r>
    </w:p>
    <w:p>
      <w:r>
        <w:rPr>
          <w:b/>
        </w:rPr>
        <w:t xml:space="preserve">Ergebnis: </w:t>
      </w:r>
      <w:r>
        <w:t>593 Fälle von Mehrfacherkrankung. eGDR: HR 1,92 (95%-KI: 1,77–2,09) pro SD ungünstiger Richtung; TyG: HR 1,69 (95%-KI: 1,57–1,82); AIP: HR 1,51 (95%-KI: 1,39–1,64). eGDR zeigte größten Einzelmarker-Gewinn (ΔC-Index 0,041), TyG komplementär; AIP marginal. Interne Validierung bestätigt.</w:t>
      </w:r>
    </w:p>
    <w:p>
      <w:r>
        <w:rPr>
          <w:b/>
          <w:sz w:val="19"/>
        </w:rPr>
        <w:t xml:space="preserve">Übertragbarkeit: </w:t>
      </w:r>
      <w:r>
        <w:rPr>
          <w:sz w:val="19"/>
        </w:rPr>
        <w:t>China, repräsentative Kohortenstudie; Risikoscores unabhängig vom Gesundheitssystem übertragbar.</w:t>
      </w:r>
    </w:p>
    <w:p>
      <w:r>
        <w:rPr>
          <w:color w:val="5A7D3A"/>
          <w:sz w:val="18"/>
        </w:rPr>
        <w:t>https://pubmed.ncbi.nlm.nih.gov/42877036/</w:t>
      </w:r>
    </w:p>
    <w:p>
      <w:pPr>
        <w:pStyle w:val="Heading2"/>
      </w:pPr>
      <w:r>
        <w:t>PaCO₂-Schwellwert sagt Scheitern der NIV bei COPD-Exazerbation voraus</w:t>
      </w:r>
    </w:p>
    <w:p>
      <w:r>
        <w:rPr>
          <w:i/>
          <w:color w:val="666666"/>
          <w:sz w:val="18"/>
        </w:rPr>
        <w:t>Song F et al.  ·  Int J Chron Obstruct Pulmon Dis  ·  09.10.2026  ·  PMID 42876922</w:t>
      </w:r>
    </w:p>
    <w:p>
      <w:r>
        <w:t>Zweizentrische retrospektive Kohortenstudie mit 676 Patienten mit akuter COPD-Exazerbation und Typ-II-Ateminsuffizienz, behandelt mit nicht-invasiver Beatmung (NIV), zur Vorhersage von NIV-Versagen.</w:t>
      </w:r>
    </w:p>
    <w:p>
      <w:r>
        <w:rPr>
          <w:b/>
        </w:rPr>
        <w:t xml:space="preserve">Ergebnis: </w:t>
      </w:r>
      <w:r>
        <w:t>NIV-Versagen in 10,8 % (73 Patienten). Nach vollständiger Anpassung: jede Steigerung von PaCO₂ um 1 mmHg mit 3 % höherer Versagenswahrscheinlichkeit (OR 1,03; 95%-KI: 1,01–1,06). Schwellwert bei 60,2 mmHg identifiziert Hochrisikopatienten; AUC 0,805 des multivariaten Modells.</w:t>
      </w:r>
    </w:p>
    <w:p>
      <w:r>
        <w:rPr>
          <w:b/>
          <w:sz w:val="19"/>
        </w:rPr>
        <w:t xml:space="preserve">Übertragbarkeit: </w:t>
      </w:r>
      <w:r>
        <w:rPr>
          <w:sz w:val="19"/>
        </w:rPr>
        <w:t>China, klinische Routine; verfügbarer Bedside-Parameter, unabhängig von Gesundheitssystem.</w:t>
      </w:r>
    </w:p>
    <w:p>
      <w:r>
        <w:rPr>
          <w:color w:val="5A7D3A"/>
          <w:sz w:val="18"/>
        </w:rPr>
        <w:t>https://pubmed.ncbi.nlm.nih.gov/42876922/</w:t>
      </w:r>
    </w:p>
    <w:p>
      <w:pPr>
        <w:pStyle w:val="Heading2"/>
      </w:pPr>
      <w:r>
        <w:t>Koordinierte Pflege verbessert Versorgung von älteren Menschen mit Mehrfacherkrankungen</w:t>
      </w:r>
    </w:p>
    <w:p>
      <w:r>
        <w:rPr>
          <w:i/>
          <w:color w:val="666666"/>
          <w:sz w:val="18"/>
        </w:rPr>
        <w:t>Lagerin A et al.  ·  BMC Prim Care  ·  09.10.2026  ·  PMID 42875741</w:t>
      </w:r>
    </w:p>
    <w:p>
      <w:r>
        <w:t>Qualitative Studie mit 15 Bezirkspflegerinnen an fünf schwedischen Hausarztpraxen zur Versorgung älterer Menschen mit komplexer Mehrfacherkrankung und psychischen Problemen.</w:t>
      </w:r>
    </w:p>
    <w:p>
      <w:r>
        <w:rPr>
          <w:b/>
        </w:rPr>
        <w:t xml:space="preserve">Ergebnis: </w:t>
      </w:r>
      <w:r>
        <w:t>Fachkräfte fühlen sich fachlich kompetent und bereit, Verantwortung für Patienten mit Mehrfacherkrankungen zu übernehmen – wenn Zeit, Unterstützung und Struktur vorhanden sind. Zentrale Erkenntnisse: Bedarf nach verbindlich definierten Rollen, Grenzen für Koordinierungsaufgaben und struktureller Entlastung bei Kooperationslücken.</w:t>
      </w:r>
    </w:p>
    <w:p>
      <w:r>
        <w:rPr>
          <w:b/>
          <w:sz w:val="19"/>
        </w:rPr>
        <w:t xml:space="preserve">Übertragbarkeit: </w:t>
      </w:r>
      <w:r>
        <w:rPr>
          <w:sz w:val="19"/>
        </w:rPr>
        <w:t>Schweden, Hausarztpraxen; ähnliche Primärversorgungsstruktur wie Deutschland-Ansätze ohne verbindliche Steuerung.</w:t>
      </w:r>
    </w:p>
    <w:p>
      <w:r>
        <w:rPr>
          <w:color w:val="5A7D3A"/>
          <w:sz w:val="18"/>
        </w:rPr>
        <w:t>https://pubmed.ncbi.nlm.nih.gov/42875741/</w:t>
      </w:r>
    </w:p>
    <w:p>
      <w:pPr>
        <w:pStyle w:val="Heading2"/>
      </w:pPr>
      <w:r>
        <w:t>Post-COVID-Symptome bei Migranten: ethnische Unterschiede in Amsterdam</w:t>
      </w:r>
    </w:p>
    <w:p>
      <w:r>
        <w:rPr>
          <w:i/>
          <w:color w:val="666666"/>
          <w:sz w:val="18"/>
        </w:rPr>
        <w:t>Spronk M et al.  ·  Epidemiol Infect  ·  14.10.2026  ·  PMID 42870569</w:t>
      </w:r>
    </w:p>
    <w:p>
      <w:r>
        <w:t>Retrospektive Kohortenstudie mit 932 COVID-19-Erkrankten in Amsterdam zur Prävalenz von post-COVID-Symptomen (≥3 Monate) stratifiziert nach sechs ethnischen Gruppen.</w:t>
      </w:r>
    </w:p>
    <w:p>
      <w:r>
        <w:rPr>
          <w:b/>
        </w:rPr>
        <w:t xml:space="preserve">Ergebnis: </w:t>
      </w:r>
      <w:r>
        <w:t>31 % (95%-KI: 27–37 %) entwickelten post-COVID-Symptome. Nach 3 Monaten: 17 % bei niederländischer Herkunft vs. 41 % (95%-KI: 34–48 %) bei südostasiatisch-surinamischer Herkunft, beide p &lt; 0,001. Risikofaktoren: südostasiatisch-surinamische, türkische oder marokkanische Herkunft, höheres Alter, weiblich, niedrigere Bildung, Adipositas.</w:t>
      </w:r>
    </w:p>
    <w:p>
      <w:r>
        <w:rPr>
          <w:b/>
          <w:sz w:val="19"/>
        </w:rPr>
        <w:t xml:space="preserve">Übertragbarkeit: </w:t>
      </w:r>
      <w:r>
        <w:rPr>
          <w:sz w:val="19"/>
        </w:rPr>
        <w:t>Niederlande, vergleichbares Sozialsicherungssystem und Versorgungskontext.</w:t>
      </w:r>
    </w:p>
    <w:p>
      <w:r>
        <w:rPr>
          <w:color w:val="5A7D3A"/>
          <w:sz w:val="18"/>
        </w:rPr>
        <w:t>https://pubmed.ncbi.nlm.nih.gov/42870569/</w:t>
      </w:r>
    </w:p>
    <w:p>
      <w:pPr>
        <w:pStyle w:val="Heading2"/>
      </w:pPr>
      <w:r>
        <w:t>AA-Amyloidose bei autoinflammatorischen Erkrankungen: verzögerte Diagnose und hohe Krankheitslast</w:t>
      </w:r>
    </w:p>
    <w:p>
      <w:r>
        <w:rPr>
          <w:i/>
          <w:color w:val="666666"/>
          <w:sz w:val="18"/>
        </w:rPr>
        <w:t>El Moussaoui M et al.  ·  J Intern Med  ·  07.09.2026  ·  PMID 42706496</w:t>
      </w:r>
    </w:p>
    <w:p>
      <w:r>
        <w:t>Retrospektive Studie am französischen Referenzzentrum mit 181 Patienten mit sekundärer AA-Amyloidose; 50 davon (28 %) mit familiärem Mittelmeerfieber, CAPS, MKD oder TRAPS.</w:t>
      </w:r>
    </w:p>
    <w:p>
      <w:r>
        <w:rPr>
          <w:b/>
        </w:rPr>
        <w:t xml:space="preserve">Ergebnis: </w:t>
      </w:r>
      <w:r>
        <w:t>AA-Amyloidose ging der Diagnose der Grunderkrankung in 40 % der Fälle voraus (besonders bei Non-FMF). 46 % benötigten Nierentransplantation, Mortalität 26 % während Nachverfolgung. Erkrankungslast bleibt hoch trotz bekannter Erkrankung – weist auf verzögerte Diagnose hin.</w:t>
      </w:r>
    </w:p>
    <w:p>
      <w:r>
        <w:rPr>
          <w:b/>
          <w:sz w:val="19"/>
        </w:rPr>
        <w:t xml:space="preserve">Übertragbarkeit: </w:t>
      </w:r>
      <w:r>
        <w:rPr>
          <w:sz w:val="19"/>
        </w:rPr>
        <w:t>Frankreich, europäisches Referenzzentrum; übertragbar auf strukturierte Früherkennung in Deutschland.</w:t>
      </w:r>
    </w:p>
    <w:p>
      <w:r>
        <w:rPr>
          <w:color w:val="5A7D3A"/>
          <w:sz w:val="18"/>
        </w:rPr>
        <w:t>https://pubmed.ncbi.nlm.nih.gov/42706496/</w:t>
      </w:r>
    </w:p>
    <w:p>
      <w:pPr>
        <w:pStyle w:val="Heading1"/>
      </w:pPr>
      <w:r>
        <w:t>Aufgenommen am 15.10.2026</w:t>
      </w:r>
    </w:p>
    <w:p>
      <w:pPr>
        <w:pStyle w:val="Heading2"/>
      </w:pPr>
      <w:r>
        <w:t>COPD-Leitlinie: Gestaffelte Therapie senkt Exazerbationen in der Praxis</w:t>
      </w:r>
    </w:p>
    <w:p>
      <w:r>
        <w:rPr>
          <w:i/>
          <w:color w:val="666666"/>
          <w:sz w:val="18"/>
        </w:rPr>
        <w:t>D'Urzo AD et al.  ·  Can Fam Physician  ·  Okt. 2026  ·  PMID 42875068</w:t>
      </w:r>
    </w:p>
    <w:p>
      <w:r>
        <w:t>Umsetzungsleitlinie für Hausärzte zur 2023-Empfehlung der Canadian Thoracic Society beschreibt, wie Bronchodilator-Monotherapie bei leichter, Dualtherapie bei moderater und Tripeltherapie bei schwerer stabiler COPD die Symptome reduziert und Exazerbationen verhindert.</w:t>
      </w:r>
    </w:p>
    <w:p>
      <w:r>
        <w:rPr>
          <w:b/>
        </w:rPr>
        <w:t xml:space="preserve">Ergebnis: </w:t>
      </w:r>
      <w:r>
        <w:t>Stratifizierte Pharmakotherapie nach Symptombelastung und Exazerbationsrisiko: Single long-acting bronchodilator für milde, dual long-acting bronchodilator für moderate und single-inhaler triple therapy für schwere COPD mit hochem Exazerbationsrisiko reduziert Mortalität. Richtlinie betont Therapietreue als Erfolgsfaktor für Überlebensvorteil.</w:t>
      </w:r>
    </w:p>
    <w:p>
      <w:r>
        <w:rPr>
          <w:b/>
          <w:sz w:val="19"/>
        </w:rPr>
        <w:t xml:space="preserve">Übertragbarkeit: </w:t>
      </w:r>
      <w:r>
        <w:rPr>
          <w:sz w:val="19"/>
        </w:rPr>
        <w:t>Kanada, vergleichbare Primärversorgungsstruktur; direkt auf deutsche Disease-Management-Programme übertragbar</w:t>
      </w:r>
    </w:p>
    <w:p>
      <w:r>
        <w:rPr>
          <w:color w:val="5A7D3A"/>
          <w:sz w:val="18"/>
        </w:rPr>
        <w:t>https://pubmed.ncbi.nlm.nih.gov/42875068/</w:t>
      </w:r>
    </w:p>
    <w:p>
      <w:pPr>
        <w:pStyle w:val="Heading2"/>
      </w:pPr>
      <w:r>
        <w:t>Integriertes Care-Modell senkt Notaufnahmen bei High-Risk-COPD um 78 %</w:t>
      </w:r>
    </w:p>
    <w:p>
      <w:r>
        <w:rPr>
          <w:i/>
          <w:color w:val="666666"/>
          <w:sz w:val="18"/>
        </w:rPr>
        <w:t>Organista D et al.  ·  Acta Med Port  ·  01.10.2026  ·  PMID 42874036</w:t>
      </w:r>
    </w:p>
    <w:p>
      <w:r>
        <w:t>Portugiesische Vorher-nachher-Studie an 53 Hochrisiko-COPD-Patienten (LACE-Index &gt;9) evaluierte ein frühes, multidisziplinäres Versorgungsmodell mit ärztlicher, pflegerischer und sozialer Betreuung sowie hybrider Überwachung (vor Ort und remote).</w:t>
      </w:r>
    </w:p>
    <w:p>
      <w:r>
        <w:rPr>
          <w:b/>
        </w:rPr>
        <w:t xml:space="preserve">Ergebnis: </w:t>
      </w:r>
      <w:r>
        <w:t>Nach einem Jahr sanken mittlere Notaufnahmen von 3,09 auf 0,67 Besuche (−78 %, p&lt;0,001) und Hospitalisierungen von 1,39 auf 0,33 (−76 %, p&lt;0,001). Remote-Monitoring ermöglichte frühe klinische Interventionen; nur zwei Patienten mussten bei schwerem respiratorischen Versagen aufgenommen werden. Soziale Intervention half den meisten, häusliche Unterstützung zu halten.</w:t>
      </w:r>
    </w:p>
    <w:p>
      <w:r>
        <w:rPr>
          <w:b/>
          <w:sz w:val="19"/>
        </w:rPr>
        <w:t xml:space="preserve">Übertragbarkeit: </w:t>
      </w:r>
      <w:r>
        <w:rPr>
          <w:sz w:val="19"/>
        </w:rPr>
        <w:t>Portugal, ähnliche Sozialversicherungsstruktur; Koordination und Überwachungsmodelle auf deutsche integrierte Versorgung übertragbar</w:t>
      </w:r>
    </w:p>
    <w:p>
      <w:r>
        <w:rPr>
          <w:color w:val="5A7D3A"/>
          <w:sz w:val="18"/>
        </w:rPr>
        <w:t>https://pubmed.ncbi.nlm.nih.gov/42874036/</w:t>
      </w:r>
    </w:p>
    <w:p>
      <w:pPr>
        <w:pStyle w:val="Heading2"/>
      </w:pPr>
      <w:r>
        <w:t>Schwangerschaftskomplikationen erhöhen Risiko für Herz-Nieren-Erkrankungen</w:t>
      </w:r>
    </w:p>
    <w:p>
      <w:r>
        <w:rPr>
          <w:i/>
          <w:color w:val="666666"/>
          <w:sz w:val="18"/>
        </w:rPr>
        <w:t>Wambua S et al.  ·  BMJ Med  ·  06.10.2026  ·  PMID 42872422</w:t>
      </w:r>
    </w:p>
    <w:p>
      <w:r>
        <w:t>Longitudinale Kohortenstudie an 1,4 Millionen englischen Frauen untersuchte, wie Schwangerschaftskomplikationen das Risiko für kardiovaskuläre Erkrankungen, Typ-2-Diabetes, Hypertonie und chronische Nierenkrankheit in den Jahren nach der Schwangerschaft beeinflussen.</w:t>
      </w:r>
    </w:p>
    <w:p>
      <w:r>
        <w:rPr>
          <w:b/>
        </w:rPr>
        <w:t xml:space="preserve">Ergebnis: </w:t>
      </w:r>
      <w:r>
        <w:t>Gestationsdiabetes erhöhte das Typ-2-Diabetes-Risiko siebenfach (HR 7,0); Präeklampsie verdreifachte das Hypertonierisiko (HR 3,05) und verdoppelte das Nierenkrankheitsrisiko (HR 2,0). Postpartale Depression erhöhte alle vier Endpunkte um 35–56 % (HR 1,35–1,56). Diese Befunde unterstützen präventive Interventionen in der postpartalen Phase bei Frauen mit Schwangerschaftskomplikationen.</w:t>
      </w:r>
    </w:p>
    <w:p>
      <w:r>
        <w:rPr>
          <w:b/>
          <w:sz w:val="19"/>
        </w:rPr>
        <w:t xml:space="preserve">Übertragbarkeit: </w:t>
      </w:r>
      <w:r>
        <w:rPr>
          <w:sz w:val="19"/>
        </w:rPr>
        <w:t>England, vergleichbares Gesundheitssystem; Daten aus Primärversorgungsdatenbank</w:t>
      </w:r>
    </w:p>
    <w:p>
      <w:r>
        <w:rPr>
          <w:color w:val="5A7D3A"/>
          <w:sz w:val="18"/>
        </w:rPr>
        <w:t>https://pubmed.ncbi.nlm.nih.gov/42872422/</w:t>
      </w:r>
    </w:p>
    <w:p>
      <w:pPr>
        <w:pStyle w:val="Heading2"/>
      </w:pPr>
      <w:r>
        <w:t>Chronische Urtikaria erleichtert Früherkennung, aber nicht Kontrolle von Herz-Kreislauf-Erkrankungen</w:t>
      </w:r>
    </w:p>
    <w:p>
      <w:r>
        <w:rPr>
          <w:i/>
          <w:color w:val="666666"/>
          <w:sz w:val="18"/>
        </w:rPr>
        <w:t>Yang ZH et al.  ·  Biomed Environ Sci  ·  20.09.2026  ·  PMID 42870596</w:t>
      </w:r>
    </w:p>
    <w:p>
      <w:r>
        <w:t>Chinesische nationale Querschnittsstudie an 118.036 Erwachsenen mit Herz-Kreislauf-Erkrankungen untersuchte Prävalenz, Risikofaktoren und Auswirkungen chronischer Urtikaria auf Bewusstsein, Behandlung und Kontrolle von Hypertonie, Diabetes und Dyslipidämie.</w:t>
      </w:r>
    </w:p>
    <w:p>
      <w:r>
        <w:rPr>
          <w:b/>
        </w:rPr>
        <w:t xml:space="preserve">Ergebnis: </w:t>
      </w:r>
      <w:r>
        <w:t>Urtikaria-Prävalenz: 2,90 %, höher bei Frauen (3,41 % vs. 2,56 %) und Landbevölkerung. Risikofaktoren: aktuelles Rauchen (OR 1,17), Schlafmangel &lt;5h (OR 1,79) und &gt;10h (OR 1,39). Patienten mit Urtikaria zeigten höhere CMD-Bewusstseinraten (Hypertonie 50,7 % vs. 40,3 %) und Behandlungsquoten (Hypertonie 41,4 % vs. 34,2 %), aber vergleichbare Kontrollraten. Urtikaria wirkt als Marker, verbessert aber nicht die Krankheitskontrolle.</w:t>
      </w:r>
    </w:p>
    <w:p>
      <w:r>
        <w:rPr>
          <w:b/>
          <w:sz w:val="19"/>
        </w:rPr>
        <w:t xml:space="preserve">Übertragbarkeit: </w:t>
      </w:r>
      <w:r>
        <w:rPr>
          <w:sz w:val="19"/>
        </w:rPr>
        <w:t>China; Mehrfacherkrankung-Befunde aber unabhängig von Gesundheitssystem relevant</w:t>
      </w:r>
    </w:p>
    <w:p>
      <w:r>
        <w:rPr>
          <w:color w:val="5A7D3A"/>
          <w:sz w:val="18"/>
        </w:rPr>
        <w:t>https://pubmed.ncbi.nlm.nih.gov/42870596/</w:t>
      </w:r>
    </w:p>
    <w:p>
      <w:pPr>
        <w:pStyle w:val="Heading2"/>
      </w:pPr>
      <w:r>
        <w:t>Maresin-1-Profil markiert pädiatrische Nierenschädigung stadienabhängig</w:t>
      </w:r>
    </w:p>
    <w:p>
      <w:r>
        <w:rPr>
          <w:i/>
          <w:color w:val="666666"/>
          <w:sz w:val="18"/>
        </w:rPr>
        <w:t>Guler MA et al.  ·  BMC Nephrol  ·  28.09.2026  ·  PMID 42870244</w:t>
      </w:r>
    </w:p>
    <w:p>
      <w:r>
        <w:t>Türkische Querschnittsstudie an gesunden Kindern und Patienten mit CKD-Stadien 1–5 gemessen Serum-Maresin-1 (MaR1), ein pro-resolutives Lipidmediator-Biomarker, um dessen Rolle bei entzündlich-degenerativen Nierenprozessen zu charakterisieren.</w:t>
      </w:r>
    </w:p>
    <w:p>
      <w:r>
        <w:rPr>
          <w:b/>
        </w:rPr>
        <w:t xml:space="preserve">Ergebnis: </w:t>
      </w:r>
      <w:r>
        <w:t>Serum-MaR1-Konzentrationen zeigten stadienabhängiges Muster: Kontrollen 110,2 pg/mL, Stadium 1 CKD 20,0 pg/mL (deutlicher Abfall), dann progressive Erhöhung Stadium 2 (39,6), 3 (60,7), 4 (203,9), Stadium 5 (284,6 pg/mL). Markante Suppression in frühem Stadium gefolgt von progressiver Elevation in fortgeschrittenen Stadien deutet auf Biomarker-Potenzial hin, erfordert aber Validierung in Längsschnittstudien.</w:t>
      </w:r>
    </w:p>
    <w:p>
      <w:r>
        <w:rPr>
          <w:b/>
          <w:sz w:val="19"/>
        </w:rPr>
        <w:t xml:space="preserve">Übertragbarkeit: </w:t>
      </w:r>
      <w:r>
        <w:rPr>
          <w:sz w:val="19"/>
        </w:rPr>
        <w:t>Türkei; diagnostischer Biomarker-Ansatz prinzipiell systemunabhängig</w:t>
      </w:r>
    </w:p>
    <w:p>
      <w:r>
        <w:rPr>
          <w:color w:val="5A7D3A"/>
          <w:sz w:val="18"/>
        </w:rPr>
        <w:t>https://pubmed.ncbi.nlm.nih.gov/42870244/</w:t>
      </w:r>
    </w:p>
    <w:p>
      <w:pPr>
        <w:pStyle w:val="Heading2"/>
      </w:pPr>
      <w:r>
        <w:t>Frühe Nierenkoordinator-Überweisung verhindert ungeplante Dialyseeinleitung</w:t>
      </w:r>
    </w:p>
    <w:p>
      <w:r>
        <w:rPr>
          <w:i/>
          <w:color w:val="666666"/>
          <w:sz w:val="18"/>
        </w:rPr>
        <w:t>Tiew HW et al.  ·  BMC Nephrol  ·  05.08.2026  ·  PMID 42870239</w:t>
      </w:r>
    </w:p>
    <w:p>
      <w:r>
        <w:t>Singapurer Kohortenstudie mit 282 Patienten im Stadium 5 CKD untersuchte, wie der Zeitpunkt der Überweisung zu einem Nierenkoordinator (bei verschiedenen eGFR-Schwellwerten) das Risiko für ungeplante Dialyseeinleitung beeinflusst.</w:t>
      </w:r>
    </w:p>
    <w:p>
      <w:r>
        <w:rPr>
          <w:b/>
        </w:rPr>
        <w:t xml:space="preserve">Ergebnis: </w:t>
      </w:r>
      <w:r>
        <w:t>Überweisung bei eGFR 9–14 mL/min/1,73m² war mit 55 % niedrigerem Risiko für ungeplante Dialyseeinleitung assoziiert (HR 0,45, 95%-KI 0,22–0,91) im Vergleich zu späteren Überweisungen. Ungeplante Einleitung war häufiger bei CKD Stage 5 als Stage 4 (78,8 % vs. 62,5 %). Frühzeitige Koordination ermöglichte ausreichend Zeit für Vorbereitung eines permanenten Zugangs.</w:t>
      </w:r>
    </w:p>
    <w:p>
      <w:r>
        <w:rPr>
          <w:b/>
          <w:sz w:val="19"/>
        </w:rPr>
        <w:t xml:space="preserve">Übertragbarkeit: </w:t>
      </w:r>
      <w:r>
        <w:rPr>
          <w:sz w:val="19"/>
        </w:rPr>
        <w:t>Singapur, aber Case-Management-Prinzip auf deutsches Versorgungssystem und Hausarzt-Steuerung übertragbar</w:t>
      </w:r>
    </w:p>
    <w:p>
      <w:r>
        <w:rPr>
          <w:color w:val="5A7D3A"/>
          <w:sz w:val="18"/>
        </w:rPr>
        <w:t>https://pubmed.ncbi.nlm.nih.gov/42870239/</w:t>
      </w:r>
    </w:p>
    <w:p>
      <w:pPr>
        <w:pStyle w:val="Heading1"/>
      </w:pPr>
      <w:r>
        <w:t>Aufgenommen am 14.10.2026</w:t>
      </w:r>
    </w:p>
    <w:p>
      <w:pPr>
        <w:pStyle w:val="Heading2"/>
      </w:pPr>
      <w:r>
        <w:t>Arbeitsinklusion verbessert Therapietreue bei chronischen Erkrankungen</w:t>
      </w:r>
    </w:p>
    <w:p>
      <w:r>
        <w:rPr>
          <w:i/>
          <w:color w:val="666666"/>
          <w:sz w:val="18"/>
        </w:rPr>
        <w:t>Aalbers E et al.  ·  PLoS One  ·  13.10.2026  ·  PMID 42868134</w:t>
      </w:r>
    </w:p>
    <w:p>
      <w:r>
        <w:t>Niederländische Querschnittsstudie mit 309 erwerbstätigen Personen mit chronischen Erkrankungen und Medikamenteneinnahme untersuchte, wie Arbeitsmerkmale die Therapietreue beeinflussen.</w:t>
      </w:r>
    </w:p>
    <w:p>
      <w:r>
        <w:rPr>
          <w:b/>
        </w:rPr>
        <w:t xml:space="preserve">Ergebnis: </w:t>
      </w:r>
      <w:r>
        <w:t>Therapietreue betrug 56%. Arbeitsinklusion war unabhängig mit besserer Adhärenz assoziiert (AOR 1,50; 95%-KI 1,00–2,25; p=0,049). Moderate körperliche Arbeitsbelastung zeigte paradoxe schützende Assoziation (AOR 0,49; 95%-KI 0,26–0,92; p=0,026). Praktische Arbeitsmerkmale wie Stundenanzahl oder Vertragstyp waren nicht signifikant mit Adhärenz assoziiert.</w:t>
      </w:r>
    </w:p>
    <w:p>
      <w:r>
        <w:rPr>
          <w:b/>
          <w:sz w:val="19"/>
        </w:rPr>
        <w:t xml:space="preserve">Übertragbarkeit: </w:t>
      </w:r>
      <w:r>
        <w:rPr>
          <w:sz w:val="19"/>
        </w:rPr>
        <w:t>Niederlande, Versicherungssystem vergleichbar mit Deutschland; Frage der Arbeitsintegration für chronisch Kranke universell relevant.</w:t>
      </w:r>
    </w:p>
    <w:p>
      <w:r>
        <w:rPr>
          <w:color w:val="5A7D3A"/>
          <w:sz w:val="18"/>
        </w:rPr>
        <w:t>https://pubmed.ncbi.nlm.nih.gov/42868134/</w:t>
      </w:r>
    </w:p>
    <w:p>
      <w:pPr>
        <w:pStyle w:val="Heading2"/>
      </w:pPr>
      <w:r>
        <w:t>Kardiovaskuläre Mehrfacherkrankung verschärft Krankenhausergebnisse bei COPD-Exazerbation</w:t>
      </w:r>
    </w:p>
    <w:p>
      <w:r>
        <w:rPr>
          <w:i/>
          <w:color w:val="666666"/>
          <w:sz w:val="18"/>
        </w:rPr>
        <w:t>Fu Y et al.  ·  Int J Chron Obstruct Pulmon Dis  ·  07.10.2026  ·  PMID 42865926</w:t>
      </w:r>
    </w:p>
    <w:p>
      <w:r>
        <w:t>Chinesische Rückwärtskohorte mit 3.684 Aufnahmen von 2.281 COPD-Patienten (2015–2024) untersuchte den Einfluss kardiovaskulärer Komorbiditäten auf Krankenhausverweildauer und Wiederaufnahmen.</w:t>
      </w:r>
    </w:p>
    <w:p>
      <w:r>
        <w:rPr>
          <w:b/>
        </w:rPr>
        <w:t xml:space="preserve">Ergebnis: </w:t>
      </w:r>
      <w:r>
        <w:t>71,7% hatten mindestens eine kardiovaskuläre Erkrankung. Nach vollständiger Adjustierung: 2 kardiovaskuläre Erkrankungen erhöhten verlängerte Verweildauer (≥14 Tage) OR 1,60 (95%-KI 1,18–2,16); ≥3 Erkrankungen OR 1,95 (95%-KI 1,30–2,93; p&lt;0,001 Trend). 1-Jahres-Wiederaufnahmerate stieg mit Komorbidität (HR 1,38 für 1; 1,42 für 2; 1,68 für ≥3 Erkrankungen; p=0,006). HTN+IHD+PAD höchstes Risiko (OR 2,53). Kardiovaskuläre Mehrfacherkrankung ist unabhängiger Risikofaktor für Hospitalisierungsergebnisse bei AECOPD.</w:t>
      </w:r>
    </w:p>
    <w:p>
      <w:r>
        <w:rPr>
          <w:b/>
          <w:sz w:val="19"/>
        </w:rPr>
        <w:t xml:space="preserve">Übertragbarkeit: </w:t>
      </w:r>
      <w:r>
        <w:rPr>
          <w:sz w:val="19"/>
        </w:rPr>
        <w:t>China, aber Mehrfacherkrankung und klinische Ergebnisse in ähnlicher Versorgungsstruktur messbar.</w:t>
      </w:r>
    </w:p>
    <w:p>
      <w:r>
        <w:rPr>
          <w:color w:val="5A7D3A"/>
          <w:sz w:val="18"/>
        </w:rPr>
        <w:t>https://pubmed.ncbi.nlm.nih.gov/42865926/</w:t>
      </w:r>
    </w:p>
    <w:p>
      <w:pPr>
        <w:pStyle w:val="Heading2"/>
      </w:pPr>
      <w:r>
        <w:t>Sozialverschreibung wirkt durch Teilnahme, nicht bloße Überweisung</w:t>
      </w:r>
    </w:p>
    <w:p>
      <w:r>
        <w:rPr>
          <w:i/>
          <w:color w:val="666666"/>
          <w:sz w:val="18"/>
        </w:rPr>
        <w:t>Huang M et al.  ·  Front Public Health  ·  28.09.2026  ·  PMID 42865730</w:t>
      </w:r>
    </w:p>
    <w:p>
      <w:r>
        <w:t>Bayesianische Re-Analyse von 10 randomisierten Studien (4.840 Teilnehmer) zur Sozialverschreibung (Social Prescribing) bei chronischen Erkrankungen untersuchte, ob Empfehlung oder Programmteilnahme den Nutzen erklärt.</w:t>
      </w:r>
    </w:p>
    <w:p>
      <w:r>
        <w:rPr>
          <w:b/>
        </w:rPr>
        <w:t xml:space="preserve">Ergebnis: </w:t>
      </w:r>
      <w:r>
        <w:t>Intention-to-treat-Effekt auf körperliche Aktivität: OR 1,31 (95%-CrI 1,07–1,67; posterior probability 0,991). Kein konsistenter Dosis-Response-Effekt (Slope -1,29; 95%-CrI -6,17 bis 3,48). Hohe Programmteilnahme zeigte zusätzlichen Benefit von 0,26 klinisch bedeutsamen Einheiten (95%-CrI -0,07 bis 0,63; posterior probability 0,940). Positive Effekte über körperliche Aktivität, Körpergewicht, Blutdruck, psychisches Wohlbefinden, Lebensqualität. Erfolgreiche Teilnahme – nicht bloße Überweisung – ist primärer Wirkmechanismus.</w:t>
      </w:r>
    </w:p>
    <w:p>
      <w:r>
        <w:rPr>
          <w:b/>
          <w:sz w:val="19"/>
        </w:rPr>
        <w:t xml:space="preserve">Übertragbarkeit: </w:t>
      </w:r>
      <w:r>
        <w:rPr>
          <w:sz w:val="19"/>
        </w:rPr>
        <w:t>Überwiegend europäische und kanadische Studien; Konzept Social Prescribing mit Partizipation über Systeme hinweg relevant.</w:t>
      </w:r>
    </w:p>
    <w:p>
      <w:r>
        <w:rPr>
          <w:color w:val="5A7D3A"/>
          <w:sz w:val="18"/>
        </w:rPr>
        <w:t>https://pubmed.ncbi.nlm.nih.gov/42865730/</w:t>
      </w:r>
    </w:p>
    <w:p>
      <w:pPr>
        <w:pStyle w:val="Heading2"/>
      </w:pPr>
      <w:r>
        <w:t>Strukturiertes Trainungsprogramm verbessert Lungenfunktion bei COPD</w:t>
      </w:r>
    </w:p>
    <w:p>
      <w:r>
        <w:rPr>
          <w:i/>
          <w:color w:val="666666"/>
          <w:sz w:val="18"/>
        </w:rPr>
        <w:t>Cederberg A et al.  ·  Respir Res  ·  12.10.2026  ·  PMID 42864666</w:t>
      </w:r>
    </w:p>
    <w:p>
      <w:r>
        <w:t>Schwedische prospektive Interventionsstudie mit 62 COPD-Patienten evaluierte 12 Wochen ambulantes Kraft- und Ausdauertraining (3×/Woche) auf Lungenfunktion, Belastbarkeit und Symptombelastung.</w:t>
      </w:r>
    </w:p>
    <w:p>
      <w:r>
        <w:rPr>
          <w:b/>
        </w:rPr>
        <w:t xml:space="preserve">Ergebnis: </w:t>
      </w:r>
      <w:r>
        <w:t>Impulse-Oszillometrie zeigte signifikante Verbesserungen: R5 Δ=-0,75 z-Score (p=0,001), R5-R20 Δ=-0,18 z-Score (p=0,007), Fres Δ=-0,33 Hz (p=0,022), AX Δ=-0,05 kPa·s⁻¹ (p=0,042). 6-Minuten-Gehtest verbesserte sich um 15 m (p=0,002), 1-Minuten-Sit-to-Stand um 3 Wiederholungen (p&lt;0,0001). CAT-Score sank um 1,0 Punkt (p=0,014), CCQ um 0,1 (p=0,011). Spirometrie zeigte nur kleine FVC-Zunahme. Verbesserung der peripheren Atemwegsphysiologie ohne signifikante Spirometrieänderung.</w:t>
      </w:r>
    </w:p>
    <w:p>
      <w:r>
        <w:rPr>
          <w:b/>
          <w:sz w:val="19"/>
        </w:rPr>
        <w:t xml:space="preserve">Übertragbarkeit: </w:t>
      </w:r>
      <w:r>
        <w:rPr>
          <w:sz w:val="19"/>
        </w:rPr>
        <w:t>Schweden, vergleichbare Primärversorgung; strukturiertes Trainingskonzept für Praxen und Reha übertragbar.</w:t>
      </w:r>
    </w:p>
    <w:p>
      <w:r>
        <w:rPr>
          <w:color w:val="5A7D3A"/>
          <w:sz w:val="18"/>
        </w:rPr>
        <w:t>https://pubmed.ncbi.nlm.nih.gov/42864666/</w:t>
      </w:r>
    </w:p>
    <w:p>
      <w:pPr>
        <w:pStyle w:val="Heading2"/>
      </w:pPr>
      <w:r>
        <w:t>ME/CFS bei jungen Menschen: Unmet Needs in Versorgung und Betreuung</w:t>
      </w:r>
    </w:p>
    <w:p>
      <w:r>
        <w:rPr>
          <w:i/>
          <w:color w:val="666666"/>
          <w:sz w:val="18"/>
        </w:rPr>
        <w:t>Kircher A et al.  ·  BMC Public Health  ·  29.09.2026  ·  PMID 42864639</w:t>
      </w:r>
    </w:p>
    <w:p>
      <w:r>
        <w:t>Qualitative deutsche Studie mit 14 Patienten (12–25 Jahre) und 18 Eltern (Fokusgruppen und Tagebuch) identifizierte unerfüllte Versorgungsbedarfe bei ME/CFS.</w:t>
      </w:r>
    </w:p>
    <w:p>
      <w:r>
        <w:rPr>
          <w:b/>
        </w:rPr>
        <w:t xml:space="preserve">Ergebnis: </w:t>
      </w:r>
      <w:r>
        <w:t>Patienten benannten vier zentrale unerfüllte Bedarfe: (1) nicht alleine gelassen werden mit der Krankheit, (2) Flexibilität und Verständnis von Gesundheitsanbietern, (3) weniger Erklärungsdruck gegenüber anderen, (4) Anerkennung des Familieneinsatzes als Lückenbüßer. Eltern identifizierten parallel vier Themen: nicht alleine sein, krankheitsgerechte Versorgung, Wissen und Verständnis für ME/CFS, Handlungskompetenz. Bedarfe von Patienten und Eltern überlappten deutlich und zeigen Bedarf für bedarfsadaptierte Versorgungsstrukturen.</w:t>
      </w:r>
    </w:p>
    <w:p>
      <w:r>
        <w:rPr>
          <w:b/>
          <w:sz w:val="19"/>
        </w:rPr>
        <w:t xml:space="preserve">Übertragbarkeit: </w:t>
      </w:r>
      <w:r>
        <w:rPr>
          <w:sz w:val="19"/>
        </w:rPr>
        <w:t>Deutsche Studie; direkter Versorgungsbezug für Ausgestaltung von ME/CFS-Programmen in Deutschland.</w:t>
      </w:r>
    </w:p>
    <w:p>
      <w:r>
        <w:rPr>
          <w:color w:val="5A7D3A"/>
          <w:sz w:val="18"/>
        </w:rPr>
        <w:t>https://pubmed.ncbi.nlm.nih.gov/42864639/</w:t>
      </w:r>
    </w:p>
    <w:p>
      <w:pPr>
        <w:pStyle w:val="Heading2"/>
      </w:pPr>
      <w:r>
        <w:t>Sequenzielle Tyrosinkinase-Inhibitor-Therapie bei resistenter chronischer myeloischer Leukämie</w:t>
      </w:r>
    </w:p>
    <w:p>
      <w:r>
        <w:rPr>
          <w:i/>
          <w:color w:val="666666"/>
          <w:sz w:val="18"/>
        </w:rPr>
        <w:t>Gugliotta G et al.  ·  Clin Lymphoma Myeloma Leuk  ·  24.07.2026  ·  PMID 42608256</w:t>
      </w:r>
    </w:p>
    <w:p>
      <w:r>
        <w:t>Italienische Real-World-Kohortenstudie mit 69 CML-Patienten in chronischer Phase untersuchte Ergebnisse nach Wechsel auf Zweitlinien-TKI bei Versagen von Nilotinib oder Dasatinib.</w:t>
      </w:r>
    </w:p>
    <w:p>
      <w:r>
        <w:rPr>
          <w:b/>
        </w:rPr>
        <w:t xml:space="preserve">Ergebnis: </w:t>
      </w:r>
      <w:r>
        <w:t>Medianer Zeitpunkt zum Wechsel: 15 Monate. Ponatinib am häufigsten eingesetzt (68%). Als beste Molekülresponse: 78% erreichten BCR::ABL1IS &lt;1%. 3-Jahres-Rate für MR3: 69,4% (95%-KI 53,2–84,2%). 30% benötigten nach median 9 Monaten Drittlinien-Therapie, meist wegen Resistenz (81%); von diesen erreichten 50% BCR::ABL1IS &lt;1%. 9% zur Stammzelltransplantation; 7% Blastentransformation (alle starben). 5-Jahres-progressionsfreies und Gesamtüberleben: 87% (95%-KI 67,1–95,2%) und 83% (95%-KI 61,7–93%).</w:t>
      </w:r>
    </w:p>
    <w:p>
      <w:r>
        <w:rPr>
          <w:b/>
          <w:sz w:val="19"/>
        </w:rPr>
        <w:t xml:space="preserve">Übertragbarkeit: </w:t>
      </w:r>
      <w:r>
        <w:rPr>
          <w:sz w:val="19"/>
        </w:rPr>
        <w:t>Italien, ähnliche Versorgungsstrukturen und Dokumentation wie Deutschland; real-world Wirk­lichkeit von Sequenztherapien.</w:t>
      </w:r>
    </w:p>
    <w:p>
      <w:r>
        <w:rPr>
          <w:color w:val="5A7D3A"/>
          <w:sz w:val="18"/>
        </w:rPr>
        <w:t>https://pubmed.ncbi.nlm.nih.gov/42608256/</w:t>
      </w:r>
    </w:p>
    <w:p>
      <w:pPr>
        <w:pStyle w:val="Heading1"/>
      </w:pPr>
      <w:r>
        <w:t>Aufgenommen am 13.10.2026</w:t>
      </w:r>
    </w:p>
    <w:p>
      <w:pPr>
        <w:pStyle w:val="Heading2"/>
      </w:pPr>
      <w:r>
        <w:t>Selbstvertretung bei Hämodialysepatienten: aktive Partizipation nur bei 15%</w:t>
      </w:r>
    </w:p>
    <w:p>
      <w:r>
        <w:rPr>
          <w:i/>
          <w:color w:val="666666"/>
          <w:sz w:val="18"/>
        </w:rPr>
        <w:t>Xu W et al.  ·  BMC Nephrol  ·  07.08.2026  ·  PMID 42859166</w:t>
      </w:r>
    </w:p>
    <w:p>
      <w:r>
        <w:t>Querschnittsstudie an 429 Hämodialysepatienten zur Identifikation von Profilen der Patientenselbstvertretung und deren Einflussfaktoren.</w:t>
      </w:r>
    </w:p>
    <w:p>
      <w:r>
        <w:rPr>
          <w:b/>
        </w:rPr>
        <w:t xml:space="preserve">Ergebnis: </w:t>
      </w:r>
      <w:r>
        <w:t>Nur 15,0% der Patienten zeigten aktive Selbstvertretung ("Active Striving Type"), 58,5% moderate Partizipation und 26,5% passive Akzeptanz. Wahrgenommene soziale Unterstützung, Selbstmanagementfähigkeit und emotionale Last waren signifikante Einflussfaktoren (p&lt;0,05). Die Netzwerkanalyse identifizierte unterschiedliche zentrale Symptomknoten pro Gruppe.</w:t>
      </w:r>
    </w:p>
    <w:p>
      <w:r>
        <w:rPr>
          <w:b/>
          <w:sz w:val="19"/>
        </w:rPr>
        <w:t xml:space="preserve">Übertragbarkeit: </w:t>
      </w:r>
      <w:r>
        <w:rPr>
          <w:sz w:val="19"/>
        </w:rPr>
        <w:t>China, Versorgungspraxis anwendbar; Selbstvertretung als Versorgungsqualitätsmerkmal</w:t>
      </w:r>
    </w:p>
    <w:p>
      <w:r>
        <w:rPr>
          <w:color w:val="5A7D3A"/>
          <w:sz w:val="18"/>
        </w:rPr>
        <w:t>https://pubmed.ncbi.nlm.nih.gov/42859166/</w:t>
      </w:r>
    </w:p>
    <w:p>
      <w:pPr>
        <w:pStyle w:val="Heading2"/>
      </w:pPr>
      <w:r>
        <w:t>U-förmige Beziehung zwischen Schlaf und Nierenfunktion: CKD-Prävalenz bei Kurz- und Langschläfern erhöht</w:t>
      </w:r>
    </w:p>
    <w:p>
      <w:r>
        <w:rPr>
          <w:i/>
          <w:color w:val="666666"/>
          <w:sz w:val="18"/>
        </w:rPr>
        <w:t>Oh J et al.  ·  Medicine (Baltimore)  ·  09.10.2026  ·  PMID 42854001</w:t>
      </w:r>
    </w:p>
    <w:p>
      <w:r>
        <w:t>Populationsstudie mit 87.246 koreanischen Erwachsenen (≥19 Jahre) zur Assoziation zwischen Schlafmuster und CKD-Prävalenz über 16 Jahre.</w:t>
      </w:r>
    </w:p>
    <w:p>
      <w:r>
        <w:rPr>
          <w:b/>
        </w:rPr>
        <w:t xml:space="preserve">Ergebnis: </w:t>
      </w:r>
      <w:r>
        <w:t>CKD-Prävalenz zeigte U-förmige Assoziation mit Schlafdauer: &lt;6 h täglicher Schlaf (adjustierte OR 2,34, 95%-KI 2,04-2,69), ≥9 h Schlaf (OR 2,07, 95%-KI 1,77-2,41) versus optimale 7-8 h. Die CKD-Gesamtprävalenz sank von 2007-2009 (5,13%) auf 2020-2022 (3,53%). Assoziation blieb nach Adjustment für kardio-metabolische Komorbiditäten stabil.</w:t>
      </w:r>
    </w:p>
    <w:p>
      <w:r>
        <w:rPr>
          <w:b/>
          <w:sz w:val="19"/>
        </w:rPr>
        <w:t xml:space="preserve">Übertragbarkeit: </w:t>
      </w:r>
      <w:r>
        <w:rPr>
          <w:sz w:val="19"/>
        </w:rPr>
        <w:t>Südkorea mit universalversorgtem System; Schlafqualität als modifizierbarer Präventionfaktor</w:t>
      </w:r>
    </w:p>
    <w:p>
      <w:r>
        <w:rPr>
          <w:color w:val="5A7D3A"/>
          <w:sz w:val="18"/>
        </w:rPr>
        <w:t>https://pubmed.ncbi.nlm.nih.gov/42854001/</w:t>
      </w:r>
    </w:p>
    <w:p>
      <w:pPr>
        <w:pStyle w:val="Heading2"/>
      </w:pPr>
      <w:r>
        <w:t>Kamerun: 43% aller Todesfälle durch nicht übertragbare Krankheiten, aber nur 6% der Prävention finanziert</w:t>
      </w:r>
    </w:p>
    <w:p>
      <w:r>
        <w:rPr>
          <w:i/>
          <w:color w:val="666666"/>
          <w:sz w:val="18"/>
        </w:rPr>
        <w:t>Saidu Y et al.  ·  J Glob Health  ·  09.10.2026  ·  PMID 42853019</w:t>
      </w:r>
    </w:p>
    <w:p>
      <w:r>
        <w:t>Priorisierungsstudie auf Basis von Global Burden of Disease 2019 und systematischer Literaturanalyse zur Krankheitslast und Versorgungsinvestitionen für nicht übertragbare Erkrankungen in Kamerun.</w:t>
      </w:r>
    </w:p>
    <w:p>
      <w:r>
        <w:rPr>
          <w:b/>
        </w:rPr>
        <w:t xml:space="preserve">Ergebnis: </w:t>
      </w:r>
      <w:r>
        <w:t>NCD/Verletzungen verursachten 2019 43% aller Todesfälle, 29% davon in der Altersgruppe &lt;40 Jahre. DALYs stiegen seit 1990 kontinuierlich an. 61% der NCDI-DALYs stammen aus Bereichen außerhalb der "Big Four" (Diabetes, Krebs, Atemwegserkrankungen, Kardiovaskulär). Trotz dieser Last wurden 2016-2020 nur 6% der Präventionsmittel für NCD verwendet. 49 Prioritätsbedingungen und 123 Interventionen identifiziert.</w:t>
      </w:r>
    </w:p>
    <w:p>
      <w:r>
        <w:rPr>
          <w:b/>
          <w:sz w:val="19"/>
        </w:rPr>
        <w:t xml:space="preserve">Übertragbarkeit: </w:t>
      </w:r>
      <w:r>
        <w:rPr>
          <w:sz w:val="19"/>
        </w:rPr>
        <w:t>Kamerun/LMIC; zentral für Versorgungsungleichheit und Priorisierung in ressourcenbegrenzten Systemen</w:t>
      </w:r>
    </w:p>
    <w:p>
      <w:r>
        <w:rPr>
          <w:color w:val="5A7D3A"/>
          <w:sz w:val="18"/>
        </w:rPr>
        <w:t>https://pubmed.ncbi.nlm.nih.gov/42853019/</w:t>
      </w:r>
    </w:p>
    <w:p>
      <w:pPr>
        <w:pStyle w:val="Heading2"/>
      </w:pPr>
      <w:r>
        <w:t>Long COVID: Olfaktorische Dysfunktion bei 77% trotz schwacher Selbstwahrnehmung</w:t>
      </w:r>
    </w:p>
    <w:p>
      <w:r>
        <w:rPr>
          <w:i/>
          <w:color w:val="666666"/>
          <w:sz w:val="18"/>
        </w:rPr>
        <w:t>Degen CV et al.  ·  Am J Otolaryngol  ·  25.08.2026  ·  PMID 42679644</w:t>
      </w:r>
    </w:p>
    <w:p>
      <w:r>
        <w:t>Querschnittsstudie mit 154 Teilnehmern (Long COVID n=122, genesen n=9, Kontrollen n=24) zur objektiven und subjektiven Erfassung von Riech- und Geschmacksstörungen.</w:t>
      </w:r>
    </w:p>
    <w:p>
      <w:r>
        <w:rPr>
          <w:b/>
        </w:rPr>
        <w:t xml:space="preserve">Ergebnis: </w:t>
      </w:r>
      <w:r>
        <w:t>Long-COVID-Patienten zeigten signifikant schlechtere Ergebnisse bei objektivem Riech- und Geschmackstest versus Kontrollen. Subjektive Einschätzung korrelierte nur schwach mit objektiven Messwerten (r=-0,525, p&lt;0,001). Zeitspanne seit Infektion korrelierte nicht mit Schweregrad. Olfaktorisches Training als wirksame Behandlung ist verfügbar.</w:t>
      </w:r>
    </w:p>
    <w:p>
      <w:r>
        <w:rPr>
          <w:b/>
          <w:sz w:val="19"/>
        </w:rPr>
        <w:t xml:space="preserve">Übertragbarkeit: </w:t>
      </w:r>
      <w:r>
        <w:rPr>
          <w:sz w:val="19"/>
        </w:rPr>
        <w:t>Deutschland, deutsche Studienzentren; Screening-Empfehlung für Long-COVID-Management</w:t>
      </w:r>
    </w:p>
    <w:p>
      <w:r>
        <w:rPr>
          <w:color w:val="5A7D3A"/>
          <w:sz w:val="18"/>
        </w:rPr>
        <w:t>https://pubmed.ncbi.nlm.nih.gov/42679644/</w:t>
      </w:r>
    </w:p>
    <w:p>
      <w:pPr>
        <w:pStyle w:val="Heading2"/>
      </w:pPr>
      <w:r>
        <w:t>EIT-gestützte Inhalationstechnik verbessert Hyperinflation bei COPD</w:t>
      </w:r>
    </w:p>
    <w:p>
      <w:r>
        <w:rPr>
          <w:i/>
          <w:color w:val="666666"/>
          <w:sz w:val="18"/>
        </w:rPr>
        <w:t>Stolz S et al.  ·  Sci Rep  ·  24.08.2026  ·  PMID 42637795</w:t>
      </w:r>
    </w:p>
    <w:p>
      <w:r>
        <w:t>Randomisierte, kontrollierte Pilotstudie (n=29 COPD-Patienten) zum Effekt von visueller EIT-Rückmeldung auf Lungenfunktion während Inhalationstherapie.</w:t>
      </w:r>
    </w:p>
    <w:p>
      <w:r>
        <w:rPr>
          <w:b/>
        </w:rPr>
        <w:t xml:space="preserve">Ergebnis: </w:t>
      </w:r>
      <w:r>
        <w:t>Interventionsgruppe mit EIT-Feedback zeigte signifikante FRC-Reduktion gegenüber Kontrolle (Intervention -0,4 L vs. Kontrolle -0,1 L, p&lt;0,05). Keine signifikanten Unterschiede bei FEV1 zwischen Gruppen. Widerstände tendierten zur Zunahme in der Interventionsgruppe. Subjektiver Benefit und EIT-Parameter zeigten keine Unterschiede.</w:t>
      </w:r>
    </w:p>
    <w:p>
      <w:r>
        <w:rPr>
          <w:b/>
          <w:sz w:val="19"/>
        </w:rPr>
        <w:t xml:space="preserve">Übertragbarkeit: </w:t>
      </w:r>
      <w:r>
        <w:rPr>
          <w:sz w:val="19"/>
        </w:rPr>
        <w:t>Deutschland, Universitätsklinik Saarland; methodische Machbarkeitsstudie, längerfristige Effekte offen</w:t>
      </w:r>
    </w:p>
    <w:p>
      <w:r>
        <w:rPr>
          <w:color w:val="5A7D3A"/>
          <w:sz w:val="18"/>
        </w:rPr>
        <w:t>https://pubmed.ncbi.nlm.nih.gov/42637795/</w:t>
      </w:r>
    </w:p>
    <w:p>
      <w:pPr>
        <w:pStyle w:val="Heading2"/>
      </w:pPr>
      <w:r>
        <w:t>CKD-Screening in der Hausarztpraxis: Politischer Aktionsplan für Europa</w:t>
      </w:r>
    </w:p>
    <w:p>
      <w:r>
        <w:rPr>
          <w:i/>
          <w:color w:val="666666"/>
          <w:sz w:val="18"/>
        </w:rPr>
        <w:t>De Nicola L et al.  ·  J Nephrol  ·  10.10.2026  ·  PMID 42627753</w:t>
      </w:r>
    </w:p>
    <w:p>
      <w:r>
        <w:t>Positionspapier der Italienischen Nephrologischen Gesellschaft zu einem strukturierten CKD-Screening und Managementprogramm für die primäre Versorgung.</w:t>
      </w:r>
    </w:p>
    <w:p>
      <w:r>
        <w:rPr>
          <w:b/>
        </w:rPr>
        <w:t xml:space="preserve">Ergebnis: </w:t>
      </w:r>
      <w:r>
        <w:t>WHO und UN erkannten CKD 2025 als globale Gesundheitspriorität an. Die Italienische Gesellschaft hat ein Screening-Programm für die Hausarztpraxis entwickelt (aktuell im italienischen Parlament in Diskussion) mit kombinierter Edukation zur CKD-Früherkennung. Remission von CKD ist zunehmend erreichbar; niedriges Bewusstsein bei Patienten und Nicht-Nephrologen bleibt Hauptbarriere.</w:t>
      </w:r>
    </w:p>
    <w:p>
      <w:r>
        <w:rPr>
          <w:b/>
          <w:sz w:val="19"/>
        </w:rPr>
        <w:t xml:space="preserve">Übertragbarkeit: </w:t>
      </w:r>
      <w:r>
        <w:rPr>
          <w:sz w:val="19"/>
        </w:rPr>
        <w:t>Italien/Europa, vergleichbare Gesundheitssysteme; skalierbar auf Deutschland</w:t>
      </w:r>
    </w:p>
    <w:p>
      <w:r>
        <w:rPr>
          <w:color w:val="5A7D3A"/>
          <w:sz w:val="18"/>
        </w:rPr>
        <w:t>https://pubmed.ncbi.nlm.nih.gov/42627753/</w:t>
      </w:r>
    </w:p>
    <w:p>
      <w:pPr>
        <w:pStyle w:val="Heading1"/>
      </w:pPr>
      <w:r>
        <w:t>Aufgenommen am 12.10.2026</w:t>
      </w:r>
    </w:p>
    <w:p>
      <w:pPr>
        <w:pStyle w:val="Heading2"/>
      </w:pPr>
      <w:r>
        <w:t>Sturzrisiko bei COPD: Gleichgewichtsstörungen stärker assoziiert als Muskelschwäche</w:t>
      </w:r>
    </w:p>
    <w:p>
      <w:r>
        <w:rPr>
          <w:i/>
          <w:color w:val="666666"/>
          <w:sz w:val="18"/>
        </w:rPr>
        <w:t>Zangi M et al.  ·  Int J Chron Obstruct Pulmon Dis  ·  06.10.2026  ·  PMID 42859794</w:t>
      </w:r>
    </w:p>
    <w:p>
      <w:r>
        <w:t>Systematische Übersicht von 25 Studien mit 1.295 Teilnehmenden zu Zusammenhängen zwischen neuromuskulären Faktoren, Balance, Gangcharakteristika und Sturzereignissen bei COPD.</w:t>
      </w:r>
    </w:p>
    <w:p>
      <w:r>
        <w:rPr>
          <w:b/>
        </w:rPr>
        <w:t xml:space="preserve">Ergebnis: </w:t>
      </w:r>
      <w:r>
        <w:t>17 von 25 Studien zeigten signifikante Assoziationen zwischen Studienparametern und Sturzrisiko. Gleichgewichtsstörungen wiesen die konsistenteste Beziehung auf (14 von 17 Studien mit positiven Assoziationen). Die Evidenz für Muskelkraft war gemischt: Während einige Studien Quadrizeps-Schwäche mit erhöhtem Sturzrisiko verbanden (Odds Ratio 2,9 in einer Studie), fanden andere keine signifikante Assoziation. Veränderte Gangcharakteristika, insbesondere erhöhte Schrittzeit-Variabilität, wurden ebenfalls mit Stürzen assoziiert.</w:t>
      </w:r>
    </w:p>
    <w:p>
      <w:r>
        <w:rPr>
          <w:b/>
          <w:sz w:val="19"/>
        </w:rPr>
        <w:t xml:space="preserve">Übertragbarkeit: </w:t>
      </w:r>
      <w:r>
        <w:rPr>
          <w:sz w:val="19"/>
        </w:rPr>
        <w:t>Deutsche Rehaeinrichtungen, weit verbreitet in COPD-Versorgung; prospektive Studien zur Kausalität noch ausstehend.</w:t>
      </w:r>
    </w:p>
    <w:p>
      <w:r>
        <w:rPr>
          <w:color w:val="5A7D3A"/>
          <w:sz w:val="18"/>
        </w:rPr>
        <w:t>https://pubmed.ncbi.nlm.nih.gov/42859794/</w:t>
      </w:r>
    </w:p>
    <w:p>
      <w:pPr>
        <w:pStyle w:val="Heading2"/>
      </w:pPr>
      <w:r>
        <w:t>Mehrfacherkrankung verschlechtert Lebensqualität in Dosis-Wirkungs-Beziehung</w:t>
      </w:r>
    </w:p>
    <w:p>
      <w:r>
        <w:rPr>
          <w:i/>
          <w:color w:val="666666"/>
          <w:sz w:val="18"/>
        </w:rPr>
        <w:t>Manríquez-Robles D et al.  ·  Qual Life Res  ·  10.10.2026  ·  PMID 42859314</w:t>
      </w:r>
    </w:p>
    <w:p>
      <w:r>
        <w:t>Bevölkerungsrepräsentative chilenische Stichprobe (n=16.469) zur Identifikation von Mehrfacherkrankungs-Profilen und deren Zusammenhang mit globaler Lebensqualität mittels Latent-Class-Analyse und Strukturgleichungsmodellierung.</w:t>
      </w:r>
    </w:p>
    <w:p>
      <w:r>
        <w:rPr>
          <w:b/>
        </w:rPr>
        <w:t xml:space="preserve">Ergebnis: </w:t>
      </w:r>
      <w:r>
        <w:t>Drei Klassen wurden identifiziert: niedrige Belastung (untere Gruppe), mittlere Belastung (58,5%) und hohe Belastung (15,0%). Globale Lebensqualität war bei Personen mit mittlerer Belastung um β=-0,132 (p&lt;0,001) und bei hoher Belastung um β=-0,341 (p&lt;0,001) niedriger als in der Referenzgruppe. Schulbildung (β=0,142) und Haushaltseinkommen (β=0,139) waren positiv mit Lebensqualität assoziiert. Mehrfacherkrankung und funktionale Einschränkung waren die stärksten Differenzierungsmerkmale der Profile.</w:t>
      </w:r>
    </w:p>
    <w:p>
      <w:r>
        <w:rPr>
          <w:b/>
          <w:sz w:val="19"/>
        </w:rPr>
        <w:t xml:space="preserve">Übertragbarkeit: </w:t>
      </w:r>
      <w:r>
        <w:rPr>
          <w:sz w:val="19"/>
        </w:rPr>
        <w:t>Lateinamerika; ähnliche Sozialversicherungsstruktur wie deutschsprachige Länder; vergleichbare Erfassung chronischer Erkrankungen.</w:t>
      </w:r>
    </w:p>
    <w:p>
      <w:r>
        <w:rPr>
          <w:color w:val="5A7D3A"/>
          <w:sz w:val="18"/>
        </w:rPr>
        <w:t>https://pubmed.ncbi.nlm.nih.gov/42859314/</w:t>
      </w:r>
    </w:p>
    <w:p>
      <w:pPr>
        <w:pStyle w:val="Heading2"/>
      </w:pPr>
      <w:r>
        <w:t>Körperzusammensetzung bei älteren Menschen: Fettmasse stärker mit Hypertonie assoziiert als BMI allein</w:t>
      </w:r>
    </w:p>
    <w:p>
      <w:r>
        <w:rPr>
          <w:i/>
          <w:color w:val="666666"/>
          <w:sz w:val="18"/>
        </w:rPr>
        <w:t>Wei M et al.  ·  Front Public Health  ·  24.09.2026  ·  PMID 42851637</w:t>
      </w:r>
    </w:p>
    <w:p>
      <w:r>
        <w:t>Chinesische Querschnittsstudie mit 324 älteren Erwachsenen (≥65 Jahre) zur Messung der Körperzusammensetzung mittels InBody-Analysegerät und Assoziation mit Hypertonie, Dyslipidämie und Diabetes.</w:t>
      </w:r>
    </w:p>
    <w:p>
      <w:r>
        <w:rPr>
          <w:b/>
        </w:rPr>
        <w:t xml:space="preserve">Ergebnis: </w:t>
      </w:r>
      <w:r>
        <w:t>Prävalenzen: Hypertonie 62,3%, Dyslipidämie 53,7%, Diabetes 19,8%. Signifikante Geschlechts- und Altersunterschiede: Frauen hatten höheren Körperfettanteil (PBF) und niedrigere Skelettmuskelmasse (SMM), Personen ≥75 Jahre niedrigere SMM und höheres PBF. Multivariate Regressionen zeigten: höheres PBF und höheres Viszeralfett (VFL) unabhängig mit Hypertonie assoziiert; niedrigere SMM und höheres PBF mit Dyslipidämie; höheres PBF, niedrigere SMM und höherer Rumpffettanteil mit Diabetes. Assoziationen zeigten Heterogenität nach Geschlecht und Alter: Überschüssiges Körperfett prominenter bei Frauen, niedrige SMM stärker bei älteren Altersgruppen.</w:t>
      </w:r>
    </w:p>
    <w:p>
      <w:r>
        <w:rPr>
          <w:b/>
          <w:sz w:val="19"/>
        </w:rPr>
        <w:t xml:space="preserve">Übertragbarkeit: </w:t>
      </w:r>
      <w:r>
        <w:rPr>
          <w:sz w:val="19"/>
        </w:rPr>
        <w:t>China; ähnliche demografische Struktur und Mehrfacherkrankungs-Muster wie alternde deutsche Bevölkerung.</w:t>
      </w:r>
    </w:p>
    <w:p>
      <w:r>
        <w:rPr>
          <w:color w:val="5A7D3A"/>
          <w:sz w:val="18"/>
        </w:rPr>
        <w:t>https://pubmed.ncbi.nlm.nih.gov/42851637/</w:t>
      </w:r>
    </w:p>
    <w:p>
      <w:pPr>
        <w:pStyle w:val="Heading2"/>
      </w:pPr>
      <w:r>
        <w:t>Nierenfunktionsstörung bei indigener Bevölkerung: Machine Learning identifiziert Hochrisiko-Profile für Screening</w:t>
      </w:r>
    </w:p>
    <w:p>
      <w:r>
        <w:rPr>
          <w:i/>
          <w:color w:val="666666"/>
          <w:sz w:val="18"/>
        </w:rPr>
        <w:t>Kshatri JS et al.  ·  Indian J Med Res  ·  Aug. 2026  ·  PMID 42851230</w:t>
      </w:r>
    </w:p>
    <w:p>
      <w:r>
        <w:t>Sekundäranalyse der Odisha Tribal Family Health Survey mit 19.703 erwachsenen Angehörigen von 53 indigenen Gemeinschaften zur Prävalenz eingeschränkter Nierenfunktion (eGFR &lt;90) und Entwicklung von Deep-Neural-Network- und XGBoost-Vorhersagemodellen.</w:t>
      </w:r>
    </w:p>
    <w:p>
      <w:r>
        <w:rPr>
          <w:b/>
        </w:rPr>
        <w:t xml:space="preserve">Ergebnis: </w:t>
      </w:r>
      <w:r>
        <w:t>Gesamtprävalenz eingeschränkter Nierenfunktion 24,8% (95%-KI 23,8-25,9): davon 16,6% mild, 6,4% moderat, 1,5% schwer, 0,3% Nierenversagen. Prävalenz stieg mit Alter (5,6% bei 18-30 Jahren vs. 79,4% bei &gt;70 Jahren). Deep-Neural-Network-Modell: Genauigkeit 0,78, Recall 0,69 (verbessert auf 0,78 bei Schwellenwert 0,4). SHAP-Analyse identifizierte Alter, Hypertonie, Diabetes, Tabak- und Alkoholkonsum sowie niedrige Ernährungsdiversität als Schlüsselprädikatoren. Decision-Curve-Analyse deutete auf Nutzen ML-basierter gezielter Screenings hin.</w:t>
      </w:r>
    </w:p>
    <w:p>
      <w:r>
        <w:rPr>
          <w:b/>
          <w:sz w:val="19"/>
        </w:rPr>
        <w:t xml:space="preserve">Übertragbarkeit: </w:t>
      </w:r>
      <w:r>
        <w:rPr>
          <w:sz w:val="19"/>
        </w:rPr>
        <w:t>Südasien mit extremem Ressourcenmangel; ML-Modelle könnten auch in ähnlich ressourcenlimitierten deutschen Settings (ländliche Regionen) einsetzbar sein.</w:t>
      </w:r>
    </w:p>
    <w:p>
      <w:r>
        <w:rPr>
          <w:color w:val="5A7D3A"/>
          <w:sz w:val="18"/>
        </w:rPr>
        <w:t>https://pubmed.ncbi.nlm.nih.gov/42851230/</w:t>
      </w:r>
    </w:p>
    <w:p>
      <w:pPr>
        <w:pStyle w:val="Heading2"/>
      </w:pPr>
      <w:r>
        <w:t>Post-Lyme-Syndrom nach Antibiotika: Kliniker identifizieren weniger Fälle als Patienten-Fragebögen</w:t>
      </w:r>
    </w:p>
    <w:p>
      <w:r>
        <w:rPr>
          <w:i/>
          <w:color w:val="666666"/>
          <w:sz w:val="18"/>
        </w:rPr>
        <w:t>Yu H et al.  ·  Pathogens  ·  01.08.2026  ·  PMID 42654748</w:t>
      </w:r>
    </w:p>
    <w:p>
      <w:r>
        <w:t>Prospektive europäische Multiländer-Studie (Frankreich, Deutschland, Polen, Österreich, Skandinavien, Slowenien) zur Prävalenz und Klassifikation von Post-Behandlungs-Lyme-Borreliose-Syndrom (PTLDS) anhand klinischer Bewertung versus Patient-Reported Outcomes (n=242 mit kompletter Antibiotikabehandlung).</w:t>
      </w:r>
    </w:p>
    <w:p>
      <w:r>
        <w:rPr>
          <w:b/>
        </w:rPr>
        <w:t xml:space="preserve">Ergebnis: </w:t>
      </w:r>
      <w:r>
        <w:t>299 Patienten (40,9%) berichteten ≥1 Symptom (Müdigkeit, Muskel-Skelett-Schmerz oder kognitives Defizit) 10 Monate nach Diagnose. 15 Patienten (6,2%) erfüllten PTLDS-Kriterien nach klinischer oder Fragebogen-Bewertung; 4 (1,7%) erfüllten beide Kriterien. Fragebogen-PTLDS und Patienten mit persistierenden Symptomen berichteten höhere Symptomschweregrad und schlechtere physische Funktion als klinisch diagnostiziertes PTLDS, was darauf hindeutet, dass unterschiedliche Bewertungsmethoden teilweise unterschiedliche Patientengruppen erfassen.</w:t>
      </w:r>
    </w:p>
    <w:p>
      <w:r>
        <w:rPr>
          <w:b/>
          <w:sz w:val="19"/>
        </w:rPr>
        <w:t xml:space="preserve">Übertragbarkeit: </w:t>
      </w:r>
      <w:r>
        <w:rPr>
          <w:sz w:val="19"/>
        </w:rPr>
        <w:t>Europäische Mehrzenterdaten; direkt auf Deutschland und deutschsprachigen Raum übertragbar.</w:t>
      </w:r>
    </w:p>
    <w:p>
      <w:r>
        <w:rPr>
          <w:color w:val="5A7D3A"/>
          <w:sz w:val="18"/>
        </w:rPr>
        <w:t>https://pubmed.ncbi.nlm.nih.gov/42654748/</w:t>
      </w:r>
    </w:p>
    <w:p>
      <w:pPr>
        <w:pStyle w:val="Heading2"/>
      </w:pPr>
      <w:r>
        <w:t>Erektile Dysfunktion bei COPD: 87,5% Prävalenz; Dyslipidämie und Airflow-Limitation sind unabhängige Prädiktoren</w:t>
      </w:r>
    </w:p>
    <w:p>
      <w:r>
        <w:rPr>
          <w:i/>
          <w:color w:val="666666"/>
          <w:sz w:val="18"/>
        </w:rPr>
        <w:t>Alcalá-Rivera N et al.  ·  Rev Assoc Med Bras (1992)  ·  07.08.2026  ·  PMID 42585471</w:t>
      </w:r>
    </w:p>
    <w:p>
      <w:r>
        <w:t>Spanische Querschnittsstudie mit 120 männlichen COPD-Patienten zur Erfassung sexueller Funktionsstörungen mittels International Index of Erectile Function (IIEF ≤16 als klinisch signifikant).</w:t>
      </w:r>
    </w:p>
    <w:p>
      <w:r>
        <w:rPr>
          <w:b/>
        </w:rPr>
        <w:t xml:space="preserve">Ergebnis: </w:t>
      </w:r>
      <w:r>
        <w:t>113 Patienten (94,2%) berichteten Veränderungen ihrer Sexualfunktion, 42 (36%) waren unzufrieden. Erektile Dysfunktion-Prävalenz 87,5% (mild 27,5%, mild-moderat 21,7%, moderat 17,5%, schwer 20,8%). Hauptursachen laut Patientenaussage: Grunderkrankung (53,3%), Medikamente (20,8%), psychische Probleme (20%). Multivariate Analyse: Dyslipidämie (OR 4,03; 95%-KI 1,43-11,36; p=0,008) und verminderte %pFEV1 (OR 0,937; 95%-KI 0,906-0,968; p&lt;0,001) waren unabhängige Prädiktoren für klinisch signifikante erektile Dysfunktion.</w:t>
      </w:r>
    </w:p>
    <w:p>
      <w:r>
        <w:rPr>
          <w:b/>
          <w:sz w:val="19"/>
        </w:rPr>
        <w:t xml:space="preserve">Übertragbarkeit: </w:t>
      </w:r>
      <w:r>
        <w:rPr>
          <w:sz w:val="19"/>
        </w:rPr>
        <w:t>Südeuropa, vergleichbare COPD-Versorgungsstrukturen; sexuelle Gesundheit als unterschätzte Komponente chronischer Erkrankungen in der Praxis.</w:t>
      </w:r>
    </w:p>
    <w:p>
      <w:r>
        <w:rPr>
          <w:color w:val="5A7D3A"/>
          <w:sz w:val="18"/>
        </w:rPr>
        <w:t>https://pubmed.ncbi.nlm.nih.gov/42585471/</w:t>
      </w:r>
    </w:p>
    <w:p>
      <w:pPr>
        <w:pStyle w:val="Heading1"/>
      </w:pPr>
      <w:r>
        <w:t>Aufgenommen am 11.10.2026</w:t>
      </w:r>
    </w:p>
    <w:p>
      <w:pPr>
        <w:pStyle w:val="Heading2"/>
      </w:pPr>
      <w:r>
        <w:t>Urin-Dipstick-Test verbessert CKD-Screening durch Albumin-Kreatinin-Ratio</w:t>
      </w:r>
    </w:p>
    <w:p>
      <w:r>
        <w:rPr>
          <w:i/>
          <w:color w:val="666666"/>
          <w:sz w:val="18"/>
        </w:rPr>
        <w:t>Samaan F et al.  ·  BMC Nephrol  ·  03.09.2026  ·  PMID 42855677</w:t>
      </w:r>
    </w:p>
    <w:p>
      <w:r>
        <w:t>Brasilianische Pilotvalidierungsstudie an 410 Erwachsenen mit ≥1 CKD-Risikofaktor; Vergleich von zwei kommerziellen Urin-Dipsticks (Gesamtprotein vs. Albumin-Kreatinin-Ratio) gegen Referenzstandard quantitative UACR.</w:t>
      </w:r>
    </w:p>
    <w:p>
      <w:r>
        <w:rPr>
          <w:b/>
        </w:rPr>
        <w:t xml:space="preserve">Ergebnis: </w:t>
      </w:r>
      <w:r>
        <w:t>Albumin-Kreatinin-Dipstick (S12) zeigte höhere Sensitivität als Gesamtprotein-Dipstick (S10) für UACR ≥30 mg/g: 95% (95%-CI 92–98%) vs. 64% (57–71%; p&lt;0,001), für UACR 30–300 mg/g 56% vs. 36% (p=0,009), für UACR &gt;300 mg/g 95% vs. 79% (p=0,001). Hochrechnung auf 777.096 jährliche Routinetests: Ersatz würde 12.045 falsch-negative Fälle (86%) mit UACR ≥30 mg/g verhindern.</w:t>
      </w:r>
    </w:p>
    <w:p>
      <w:r>
        <w:rPr>
          <w:b/>
          <w:sz w:val="19"/>
        </w:rPr>
        <w:t xml:space="preserve">Übertragbarkeit: </w:t>
      </w:r>
      <w:r>
        <w:rPr>
          <w:sz w:val="19"/>
        </w:rPr>
        <w:t>Brasilien, private Krankenversicherung; Screening-Ansatz auf primärversorgende Strukturen übertragbar</w:t>
      </w:r>
    </w:p>
    <w:p>
      <w:r>
        <w:rPr>
          <w:color w:val="5A7D3A"/>
          <w:sz w:val="18"/>
        </w:rPr>
        <w:t>https://pubmed.ncbi.nlm.nih.gov/42855677/</w:t>
      </w:r>
    </w:p>
    <w:p>
      <w:pPr>
        <w:pStyle w:val="Heading2"/>
      </w:pPr>
      <w:r>
        <w:t>Semaglutid plus Dapagliflozin senkt HbA1c und Proteinurie bei Diabetes und CKD</w:t>
      </w:r>
    </w:p>
    <w:p>
      <w:r>
        <w:rPr>
          <w:i/>
          <w:color w:val="666666"/>
          <w:sz w:val="18"/>
        </w:rPr>
        <w:t>Gong C et al.  ·  Medicine (Baltimore)  ·  09.10.2026  ·  PMID 42854065</w:t>
      </w:r>
    </w:p>
    <w:p>
      <w:r>
        <w:t>Retrospektive chinesische Beobachtungsstudie an 126 Patienten mit Typ-2-Diabetes und CKD; Vergleich von Monotherapien (Semaglutid oder Dapagliflozin) mit Kombinationstherapie über 8 Wochen; Messung von Glukoseindizes, Nierenfunktion und Entzündungsmarkern.</w:t>
      </w:r>
    </w:p>
    <w:p>
      <w:r>
        <w:rPr>
          <w:b/>
        </w:rPr>
        <w:t xml:space="preserve">Ergebnis: </w:t>
      </w:r>
      <w:r>
        <w:t>Kombinationstherapie zeigte signifikant stärkere Reduktionen: HbA1c -1,8% (Kombination) vs. -1,2% (Monotherapie), 24-h-Proteinurie -0,42 g/Tag (Kombination) vs. -0,28 g/Tag (Monotherapie), IL-6 und CRP stärker gesenkt. Klinische Ansprechrate höher in Kombinationsgruppe. Keine erhöhten Nebenwirkungen nach 8 Wochen. Befunde begrenzt durch retrospektives Design und kurze Beobachtungsdauer.</w:t>
      </w:r>
    </w:p>
    <w:p>
      <w:r>
        <w:rPr>
          <w:b/>
          <w:sz w:val="19"/>
        </w:rPr>
        <w:t xml:space="preserve">Übertragbarkeit: </w:t>
      </w:r>
      <w:r>
        <w:rPr>
          <w:sz w:val="19"/>
        </w:rPr>
        <w:t>China, ähnliche Mehrfacherkrankungen; kurze Beobachtung, längerfristige Effekte unklar</w:t>
      </w:r>
    </w:p>
    <w:p>
      <w:r>
        <w:rPr>
          <w:color w:val="5A7D3A"/>
          <w:sz w:val="18"/>
        </w:rPr>
        <w:t>https://pubmed.ncbi.nlm.nih.gov/42854065/</w:t>
      </w:r>
    </w:p>
    <w:p>
      <w:pPr>
        <w:pStyle w:val="Heading2"/>
      </w:pPr>
      <w:r>
        <w:t>Lungenvolumenreduktion bei Antikoagulation sicher durchführbar</w:t>
      </w:r>
    </w:p>
    <w:p>
      <w:r>
        <w:rPr>
          <w:i/>
          <w:color w:val="666666"/>
          <w:sz w:val="18"/>
        </w:rPr>
        <w:t>Aleem MS et al.  ·  COPD  ·  27.09.2026  ·  PMID 42852569</w:t>
      </w:r>
    </w:p>
    <w:p>
      <w:r>
        <w:t>Retrospektive US-Datenbankanalyse der National Inpatient Sample (2016–2023) an 16.340 gewichteten Bronchoskopie-Hospitalisierungen mit Lungenvolumenreduktion; 7,8% erhielten chronische Antikoagulation; Vergleich von Blutungs- und anderen Komplikationen.</w:t>
      </w:r>
    </w:p>
    <w:p>
      <w:r>
        <w:rPr>
          <w:b/>
        </w:rPr>
        <w:t xml:space="preserve">Ergebnis: </w:t>
      </w:r>
      <w:r>
        <w:t>Antikoagulierte Patienten: Hämothorax 2,7% vs. 1,1% (nicht-antikoaguliert), Lungenblutung 7,1% vs. 4,7%, jedoch nach multivariater Analyse kein signifikanter unabhängiger Unterschied. Keine signifikanten Unterschiede in Mortalität, Pneumothorax oder Krankenhausverweildauer. Die Studie zeigt, dass Lungenvolumenreduktion auch bei antikoagulierten COPD-Patienten mit vergleichbaren Kurzzeitergebnissen durchführbar ist.</w:t>
      </w:r>
    </w:p>
    <w:p>
      <w:r>
        <w:rPr>
          <w:b/>
          <w:sz w:val="19"/>
        </w:rPr>
        <w:t xml:space="preserve">Übertragbarkeit: </w:t>
      </w:r>
      <w:r>
        <w:rPr>
          <w:sz w:val="19"/>
        </w:rPr>
        <w:t>USA-Krankenhauskodierungsdaten; Procedere übertragbar, Finanzierungsstrukturen unterscheiden sich</w:t>
      </w:r>
    </w:p>
    <w:p>
      <w:r>
        <w:rPr>
          <w:color w:val="5A7D3A"/>
          <w:sz w:val="18"/>
        </w:rPr>
        <w:t>https://pubmed.ncbi.nlm.nih.gov/42852569/</w:t>
      </w:r>
    </w:p>
    <w:p>
      <w:pPr>
        <w:pStyle w:val="Heading2"/>
      </w:pPr>
      <w:r>
        <w:t>Symptombelastung und Exazerbationen prägen Lebensqualität bei Alpha-1-Antitrypsinmangel</w:t>
      </w:r>
    </w:p>
    <w:p>
      <w:r>
        <w:rPr>
          <w:i/>
          <w:color w:val="666666"/>
          <w:sz w:val="18"/>
        </w:rPr>
        <w:t>Aljama C et al.  ·  Pulmonology  ·  07.10.2026  ·  PMID 42841174</w:t>
      </w:r>
    </w:p>
    <w:p>
      <w:r>
        <w:t>Europäische Querschnittsstudie aus dem EARCO-Register an 1710 Pi*ZZ-Patienten; Messung der gesundheitsbezogenen Lebensqualität (EQ-5D); Identifikation von Faktoren, die Lebensqualität beeinflussen.</w:t>
      </w:r>
    </w:p>
    <w:p>
      <w:r>
        <w:rPr>
          <w:b/>
        </w:rPr>
        <w:t xml:space="preserve">Ergebnis: </w:t>
      </w:r>
      <w:r>
        <w:t>Mittleres EQ-5D-Index 0,82±0,22; Patienten mit COPD hatten signifikant schlechtere Werte (0,75±0,24 vs. 0,90±0,16; p&lt;0,001). In multivariater Analyse: höhere Symptombelastung (CAT, mMRC), Langzeitsauerstofftherapie, Arbeitslosigkeit, Exazerbationen, Bronchiektasen und niedrigeres Bildungsniveau waren unabhängig mit schlechterer Lebensqualität assoziiert. Symptombelastung und Exazerbationen waren stärkere Determinanten der Lebensqualität als Lungenfunktion allein.</w:t>
      </w:r>
    </w:p>
    <w:p>
      <w:r>
        <w:rPr>
          <w:b/>
          <w:sz w:val="19"/>
        </w:rPr>
        <w:t xml:space="preserve">Übertragbarkeit: </w:t>
      </w:r>
      <w:r>
        <w:rPr>
          <w:sz w:val="19"/>
        </w:rPr>
        <w:t>Europäische Multizenterstudie (Spanien, Schweden, UK, Dänemark, Schweiz, Portugal, Italien, Frankreich, Tschechien), vergleichbare Gesundheitssysteme</w:t>
      </w:r>
    </w:p>
    <w:p>
      <w:r>
        <w:rPr>
          <w:color w:val="5A7D3A"/>
          <w:sz w:val="18"/>
        </w:rPr>
        <w:t>https://pubmed.ncbi.nlm.nih.gov/42841174/</w:t>
      </w:r>
    </w:p>
    <w:p>
      <w:pPr>
        <w:pStyle w:val="Heading2"/>
      </w:pPr>
      <w:r>
        <w:t>KRT verbesserte Überleben bei über 80-jährigen mit fortgeschrittener Nierenerkrankung</w:t>
      </w:r>
    </w:p>
    <w:p>
      <w:r>
        <w:rPr>
          <w:i/>
          <w:color w:val="666666"/>
          <w:sz w:val="18"/>
        </w:rPr>
        <w:t>Gómez-Rojas I et al.  ·  J Nephrol  ·  10.10.2026  ·  PMID 42634179</w:t>
      </w:r>
    </w:p>
    <w:p>
      <w:r>
        <w:t>Spanische Multizenterstudie an 492 Patienten über 80 Jahren mit eGFR &lt;15 mL/min/1,73 m², die konservative Therapie oder Nierenersatztherapie erhielten; Vergleich von Sterblichkeit und Krankenhausaufenthalten.</w:t>
      </w:r>
    </w:p>
    <w:p>
      <w:r>
        <w:rPr>
          <w:b/>
        </w:rPr>
        <w:t xml:space="preserve">Ergebnis: </w:t>
      </w:r>
      <w:r>
        <w:t>262 Patienten (53,3%) wählten konservative Therapie, 230 (46,7%) begannen Nierenersatztherapie. Konservative Therapie war unabhängig mit höherer Mortalität assoziiert (HR 2,554; p&lt;0,001). Bei geplanter (nicht dringlicher) Nierenersatztherapie bessere Prognose als bei dringlicher Einleitung. Bei erwarteter Überlebensdauer &lt;12 Monate ähnliche Ergebnisse in beiden Gruppen. Die Studie zeigt, dass strukturierte Nierenersatztherapie auch bei sehr alten Patienten mit fortgeschrittener CKD Überlebensvorteil bringt, sofern nicht dringlich eingeleitet.</w:t>
      </w:r>
    </w:p>
    <w:p>
      <w:r>
        <w:rPr>
          <w:b/>
          <w:sz w:val="19"/>
        </w:rPr>
        <w:t xml:space="preserve">Übertragbarkeit: </w:t>
      </w:r>
      <w:r>
        <w:rPr>
          <w:sz w:val="19"/>
        </w:rPr>
        <w:t>Spanische Klinikdaten, vergleichbares Versicherungssystem zur deutschen Versorgung</w:t>
      </w:r>
    </w:p>
    <w:p>
      <w:r>
        <w:rPr>
          <w:color w:val="5A7D3A"/>
          <w:sz w:val="18"/>
        </w:rPr>
        <w:t>https://pubmed.ncbi.nlm.nih.gov/42634179/</w:t>
      </w:r>
    </w:p>
    <w:p>
      <w:pPr>
        <w:pStyle w:val="Heading2"/>
      </w:pPr>
      <w:r>
        <w:t>Self-Management bei Nierenerkrankung: Hürden im NHS-System</w:t>
      </w:r>
    </w:p>
    <w:p>
      <w:r>
        <w:rPr>
          <w:i/>
          <w:color w:val="666666"/>
          <w:sz w:val="18"/>
        </w:rPr>
        <w:t>Patel NA et al.  ·  J Nephrol  ·  10.10.2026  ·  PMID 42598916</w:t>
      </w:r>
    </w:p>
    <w:p>
      <w:r>
        <w:t>Qualitative Studie mit 42 UK-Fachkräften des NHS zu deren Sicht auf Self-Management-Unterstützung bei Nierenerkrankung; Erkundung von Barrieren und Ressourcenbedarf in der Routinepraxis.</w:t>
      </w:r>
    </w:p>
    <w:p>
      <w:r>
        <w:rPr>
          <w:b/>
        </w:rPr>
        <w:t xml:space="preserve">Ergebnis: </w:t>
      </w:r>
      <w:r>
        <w:t>Vier übergeordnete Themen identifiziert: (1) Unzureichende Unterstützung durch NHS-Struktur für Self-Management, (2) Notwendigkeit personalisierter Ansätze, (3) Mangel an zugänglichen Self-Management-Ressourcen, (4) Forderung nach Gesundheitsgerechtigkeit. Fachkräfte berichten, dass strukturierte, evidenzbasierte Interventionen für Self-Management fehlen und dass individuelle Bedürfnisse nicht adäquat berücksichtigt werden.</w:t>
      </w:r>
    </w:p>
    <w:p>
      <w:r>
        <w:rPr>
          <w:b/>
          <w:sz w:val="19"/>
        </w:rPr>
        <w:t xml:space="preserve">Übertragbarkeit: </w:t>
      </w:r>
      <w:r>
        <w:rPr>
          <w:sz w:val="19"/>
        </w:rPr>
        <w:t>Großbritannien, NHS-System; Koordinierungsprobleme sind übertragbar auf deutsche Praxen</w:t>
      </w:r>
    </w:p>
    <w:p>
      <w:r>
        <w:rPr>
          <w:color w:val="5A7D3A"/>
          <w:sz w:val="18"/>
        </w:rPr>
        <w:t>https://pubmed.ncbi.nlm.nih.gov/42598916/</w:t>
      </w:r>
    </w:p>
    <w:p>
      <w:pPr>
        <w:pStyle w:val="Heading1"/>
      </w:pPr>
      <w:r>
        <w:t>Aufgenommen am 10.10.2026</w:t>
      </w:r>
    </w:p>
    <w:p>
      <w:pPr>
        <w:pStyle w:val="Heading2"/>
      </w:pPr>
      <w:r>
        <w:t>Kognitive Verhaltenstherapie reduzierte Müdigkeit und verbesserte Funktionsfähigkeit bei CFS nachhaltig</w:t>
      </w:r>
    </w:p>
    <w:p>
      <w:r>
        <w:rPr>
          <w:i/>
          <w:color w:val="666666"/>
          <w:sz w:val="18"/>
        </w:rPr>
        <w:t>Jiang X et al.  ·  Medicine (Baltimore)  ·  09.10.2026  ·  PMID 42854071</w:t>
      </w:r>
    </w:p>
    <w:p>
      <w:r>
        <w:t>Systematische Übersicht und Metaanalyse von 15 randomisierten Studien mit 2.270 CFS-Patienten prüfte Langzeiteffektivität von kognitiver Verhaltenstherapie auf Müdigkeit und Lebensqualität.</w:t>
      </w:r>
    </w:p>
    <w:p>
      <w:r>
        <w:rPr>
          <w:b/>
        </w:rPr>
        <w:t xml:space="preserve">Ergebnis: </w:t>
      </w:r>
      <w:r>
        <w:t>CBT reduzierte Müdigkeit postinterventionell (Chalder: SMD −0,44; KI −0,57 bis −0,32), verbesserte körperliche Funktionsfähigkeit (SMD 0,32; KI 0,23–0,41) und Psyche (Symptom Checklist 90: SMD −0,44). Nutzen blieben in Kurz- (≤6 Monate) und Langzeitfolge (6–24 Monate) bestehen (Müdigkeit SMD −0,35; KI −0,50 bis −0,19). Keine signifikanten Nebenwirkungen.</w:t>
      </w:r>
    </w:p>
    <w:p>
      <w:r>
        <w:rPr>
          <w:b/>
          <w:sz w:val="19"/>
        </w:rPr>
        <w:t xml:space="preserve">Übertragbarkeit: </w:t>
      </w:r>
      <w:r>
        <w:rPr>
          <w:sz w:val="19"/>
        </w:rPr>
        <w:t>Metaanalyse internationaler Studien, Versorgungsevidenz, psychologische Verfahren</w:t>
      </w:r>
    </w:p>
    <w:p>
      <w:r>
        <w:rPr>
          <w:color w:val="5A7D3A"/>
          <w:sz w:val="18"/>
        </w:rPr>
        <w:t>https://pubmed.ncbi.nlm.nih.gov/42854071/</w:t>
      </w:r>
    </w:p>
    <w:p>
      <w:pPr>
        <w:pStyle w:val="Heading2"/>
      </w:pPr>
      <w:r>
        <w:t>Therapeutische Rahmenbedingungen für ME/CFS: Validierung und Vertrauensbildung durch erlebte Verbesserung</w:t>
      </w:r>
    </w:p>
    <w:p>
      <w:r>
        <w:rPr>
          <w:i/>
          <w:color w:val="666666"/>
          <w:sz w:val="18"/>
        </w:rPr>
        <w:t>Bakken AK et al.  ·  Int J Qual Stud Health Well-being  ·  31.12.2026  ·  PMID 42853299</w:t>
      </w:r>
    </w:p>
    <w:p>
      <w:r>
        <w:t>Reflexive Themenanalyse von Fokusgruppen und Interviews mit 16 Fachpersonen aus 5 Berufen, die mit psychologisch-verhaltenswissenschaftlichen Methoden ME/CFS-Patienten behandeln.</w:t>
      </w:r>
    </w:p>
    <w:p>
      <w:r>
        <w:rPr>
          <w:b/>
        </w:rPr>
        <w:t xml:space="preserve">Ergebnis: </w:t>
      </w:r>
      <w:r>
        <w:t>Vier Kernthemen: (1) Patienten in ‚Niemandsland' treffen (Unsicherheitstoleranz), (2) erklärende ‚Karte' anbieten (Integration biologisch-psychosozial), (3) danach navigieren (Regulationsstörung vs. maladaptives Lernen), (4) Vertrauen bewahren (kontrastive Krankheitserzählungen). Validierung und Agenzystärkung zentral; körperlich erlebte Verbesserung kritisch für Vertrauensaufbau.</w:t>
      </w:r>
    </w:p>
    <w:p>
      <w:r>
        <w:rPr>
          <w:b/>
          <w:sz w:val="19"/>
        </w:rPr>
        <w:t xml:space="preserve">Übertragbarkeit: </w:t>
      </w:r>
      <w:r>
        <w:rPr>
          <w:sz w:val="19"/>
        </w:rPr>
        <w:t>Qualitative Versorgungsforschung, Norwegen, Anwendbarkeit für Patient-Provider-Modelle</w:t>
      </w:r>
    </w:p>
    <w:p>
      <w:r>
        <w:rPr>
          <w:color w:val="5A7D3A"/>
          <w:sz w:val="18"/>
        </w:rPr>
        <w:t>https://pubmed.ncbi.nlm.nih.gov/42853299/</w:t>
      </w:r>
    </w:p>
    <w:p>
      <w:pPr>
        <w:pStyle w:val="Heading2"/>
      </w:pPr>
      <w:r>
        <w:t>Schwangerschaftskomplikationen erhöhen Risiko für Herz-, Nieren- und Stoffwechselerkrankungen deutlich</w:t>
      </w:r>
    </w:p>
    <w:p>
      <w:r>
        <w:rPr>
          <w:i/>
          <w:color w:val="666666"/>
          <w:sz w:val="18"/>
        </w:rPr>
        <w:t>Wambua S et al.  ·  BMJ Med  ·  06.10.2026  ·  PMID 42851766</w:t>
      </w:r>
    </w:p>
    <w:p>
      <w:r>
        <w:t>Kohortenstudie mit 1,4 Millionen Frauen in England untersuchte, ob Schwangerschaftskomplikationen das spätere Risiko für Herz-Kreislauf-, Stoffwechsel- und Nierenerkrankungen erhöhen.</w:t>
      </w:r>
    </w:p>
    <w:p>
      <w:r>
        <w:rPr>
          <w:b/>
        </w:rPr>
        <w:t xml:space="preserve">Ergebnis: </w:t>
      </w:r>
      <w:r>
        <w:t>Gestationshypertonie und Präeklampsie verdreifachten das Hypertonierisiko und verdoppelten das Nierenerkrankungsrisiko. Gestationsdiabetes erhöhte das Typ-2-Diabetes-Risiko um das Siebenfache. Postnatale Depression erhöhte alle vier Endpunkte um 35–56 % (z. B. Hypertonie HR 1,36; KI 1,33–1,40). Diese Erkenntnisse ermöglichen Früherkennung von Frauen mit hohem Risiko.</w:t>
      </w:r>
    </w:p>
    <w:p>
      <w:r>
        <w:rPr>
          <w:b/>
          <w:sz w:val="19"/>
        </w:rPr>
        <w:t xml:space="preserve">Übertragbarkeit: </w:t>
      </w:r>
      <w:r>
        <w:rPr>
          <w:sz w:val="19"/>
        </w:rPr>
        <w:t>UK-Daten, vergleichbare GKV-Dokumentation, prädiktive Stratifizierung möglich</w:t>
      </w:r>
    </w:p>
    <w:p>
      <w:r>
        <w:rPr>
          <w:color w:val="5A7D3A"/>
          <w:sz w:val="18"/>
        </w:rPr>
        <w:t>https://pubmed.ncbi.nlm.nih.gov/42851766/</w:t>
      </w:r>
    </w:p>
    <w:p>
      <w:pPr>
        <w:pStyle w:val="Heading2"/>
      </w:pPr>
      <w:r>
        <w:t>Schwedisches Nierenchronikerregister: Echtzeit-Überwachung der Nierenersatztherapie auf nationaler Ebene</w:t>
      </w:r>
    </w:p>
    <w:p>
      <w:r>
        <w:rPr>
          <w:i/>
          <w:color w:val="666666"/>
          <w:sz w:val="18"/>
        </w:rPr>
        <w:t>Rydell H et al.  ·  Lakartidningen  ·  08.10.2026  ·  PMID 42847836</w:t>
      </w:r>
    </w:p>
    <w:p>
      <w:r>
        <w:t>Beschreibung des schwedischen Nierenregisters, das über 90.000 Patienten vom Diagnosebereich bis zur Transplantation verfolgt und als Versorgungsmonitor fungiert.</w:t>
      </w:r>
    </w:p>
    <w:p>
      <w:r>
        <w:rPr>
          <w:b/>
        </w:rPr>
        <w:t xml:space="preserve">Ergebnis: </w:t>
      </w:r>
      <w:r>
        <w:t>Das Register erfasst alle 9 Nephrologieabteilungen Schwedens mit hoher Datenqualität. Es ermöglicht Echtzeitüberwachung fortlaufender therapeutischer Entwicklungen – etwa rasch evolvierende Anti-CKD-Therapien und spezifische Diagnose-Therapien – und identifiziert Versorgungslücken systematisch.</w:t>
      </w:r>
    </w:p>
    <w:p>
      <w:r>
        <w:rPr>
          <w:b/>
          <w:sz w:val="19"/>
        </w:rPr>
        <w:t xml:space="preserve">Übertragbarkeit: </w:t>
      </w:r>
      <w:r>
        <w:rPr>
          <w:sz w:val="19"/>
        </w:rPr>
        <w:t>Skandinavien, hochstrukturiertes nationales Register, Modell für Versorgungsmonitoring</w:t>
      </w:r>
    </w:p>
    <w:p>
      <w:r>
        <w:rPr>
          <w:color w:val="5A7D3A"/>
          <w:sz w:val="18"/>
        </w:rPr>
        <w:t>https://pubmed.ncbi.nlm.nih.gov/42847836/</w:t>
      </w:r>
    </w:p>
    <w:p>
      <w:pPr>
        <w:pStyle w:val="Heading2"/>
      </w:pPr>
      <w:r>
        <w:t>ME/CFS zeigt latente physiologische Dysregulation über Atemwegs-, kardiovaskuläre und Thermoregulationsstörungen</w:t>
      </w:r>
    </w:p>
    <w:p>
      <w:r>
        <w:rPr>
          <w:i/>
          <w:color w:val="666666"/>
          <w:sz w:val="18"/>
        </w:rPr>
        <w:t>Habermann-Horstmeier L et al.  ·  J Transl Med  ·  28.09.2026  ·  PMID 42806383</w:t>
      </w:r>
    </w:p>
    <w:p>
      <w:r>
        <w:t>Querschnittsanalyse von 736 ME/CFS-Patienten untersuchte, wie Muskelprobleme mit anderen Symptomdomänen verknüpft sind und ob ein gemeinsamer pathophysiologischer Faktor dahintersteckt.</w:t>
      </w:r>
    </w:p>
    <w:p>
      <w:r>
        <w:rPr>
          <w:b/>
        </w:rPr>
        <w:t xml:space="preserve">Ergebnis: </w:t>
      </w:r>
      <w:r>
        <w:t>Faktorenanalyse identifizierte einen latenten physiologischen Dysregulationsfaktor, dem Atemwegs-, Herz-Kreislauf-, Thermoregulations-, visuelle und grippeähnliche Symptome zuzurechnen sind (RMSEA 0,046, CFI 0,971). Muskelprobleme waren unabhängig mit Atembeschwerden (OR 2,49), Grippeähnlichkeit (OR 1,97) und Temperaturstörungen (OR 1,97) assoziiert. Befund unterstützt multiorganbeteiligung statt Einzelsymptomfokus.</w:t>
      </w:r>
    </w:p>
    <w:p>
      <w:r>
        <w:rPr>
          <w:b/>
          <w:sz w:val="19"/>
        </w:rPr>
        <w:t xml:space="preserve">Übertragbarkeit: </w:t>
      </w:r>
      <w:r>
        <w:rPr>
          <w:sz w:val="19"/>
        </w:rPr>
        <w:t>Deutschland, Patientenregister, zeigt Mehrfacherkrankung als Kernmerkmal</w:t>
      </w:r>
    </w:p>
    <w:p>
      <w:r>
        <w:rPr>
          <w:color w:val="5A7D3A"/>
          <w:sz w:val="18"/>
        </w:rPr>
        <w:t>https://pubmed.ncbi.nlm.nih.gov/42806383/</w:t>
      </w:r>
    </w:p>
    <w:p>
      <w:pPr>
        <w:pStyle w:val="Heading2"/>
      </w:pPr>
      <w:r>
        <w:t>SGLT2-Inhibitoren reduzierten kardiovaskuläre Ereignisse und Nierenersatztherapie um 20–33 %</w:t>
      </w:r>
    </w:p>
    <w:p>
      <w:r>
        <w:rPr>
          <w:i/>
          <w:color w:val="666666"/>
          <w:sz w:val="18"/>
        </w:rPr>
        <w:t>Österman J et al.  ·  Clin J Am Soc Nephrol  ·  01.10.2026  ·  PMID 42560763</w:t>
      </w:r>
    </w:p>
    <w:p>
      <w:r>
        <w:t>Schwedische Kohortenstudie mit 32.856 Nierenkranken in nephrologischer Betreuung untersuchte Wirkung von SGLT2-Inhibitoren auf kardiovaskuläre und renale Outcomes in der Praxis.</w:t>
      </w:r>
    </w:p>
    <w:p>
      <w:r>
        <w:rPr>
          <w:b/>
        </w:rPr>
        <w:t xml:space="preserve">Ergebnis: </w:t>
      </w:r>
      <w:r>
        <w:t>SGLT2-Inhibitor-Anwender hatten niedrigeres Risiko für Major Adverse Cardiovascular Events (OR 0,80; KI 0,71–0,91) und Nierenersatztherapie (OR 0,67; KI 0,52–0,85). Kein Unterschied bei Gesamtsterblichkeit. Effekte konsistent über Subgruppen. Randomisierte Studienergebnisse bestätigen sich in der Regelversorgung.</w:t>
      </w:r>
    </w:p>
    <w:p>
      <w:r>
        <w:rPr>
          <w:b/>
          <w:sz w:val="19"/>
        </w:rPr>
        <w:t xml:space="preserve">Übertragbarkeit: </w:t>
      </w:r>
      <w:r>
        <w:rPr>
          <w:sz w:val="19"/>
        </w:rPr>
        <w:t>Skandinavien, vergleichbares System, Routinedaten nephrologischer Zentren</w:t>
      </w:r>
    </w:p>
    <w:p>
      <w:r>
        <w:rPr>
          <w:color w:val="5A7D3A"/>
          <w:sz w:val="18"/>
        </w:rPr>
        <w:t>https://pubmed.ncbi.nlm.nih.gov/42560763/</w:t>
      </w:r>
    </w:p>
    <w:p>
      <w:pPr>
        <w:pStyle w:val="Heading1"/>
      </w:pPr>
      <w:r>
        <w:t>Aufgenommen am 09.10.2026</w:t>
      </w:r>
    </w:p>
    <w:p>
      <w:pPr>
        <w:pStyle w:val="Heading2"/>
      </w:pPr>
      <w:r>
        <w:t>Intersektionale Diskriminierung erhöht Stress und Alkoholkonsum bei Minderheiten</w:t>
      </w:r>
    </w:p>
    <w:p>
      <w:r>
        <w:rPr>
          <w:i/>
          <w:color w:val="666666"/>
          <w:sz w:val="18"/>
        </w:rPr>
        <w:t>Smith MS et al.  ·  Ann Behav Med  ·  07.01.2026  ·  PMID 42847391</w:t>
      </w:r>
    </w:p>
    <w:p>
      <w:r>
        <w:t>Zwei Querschnittsstudien mit insgesamt 1.181 sexuellen Minderheitenmännern of Color zum Zusammenhang zwischen intersektionaler Diskriminierung (Rassismus und Heterosexismus gleichzeitig) und kardiometabolischen Risikofaktoren.</w:t>
      </w:r>
    </w:p>
    <w:p>
      <w:r>
        <w:rPr>
          <w:b/>
        </w:rPr>
        <w:t xml:space="preserve">Ergebnis: </w:t>
      </w:r>
      <w:r>
        <w:t>Intersektionale Diskriminierung war unabhängig mit wahrgenommenem Stress und Alkoholkonsum assoziiert (beide p &lt;0,05), ebenso mit erhöhtem BMI. Dies zeigt, dass überlappende Diskriminierungserfahrungen Gesundheitsverhalten ungünstiger beeinflussen als einzelne Diskriminierungsformen.</w:t>
      </w:r>
    </w:p>
    <w:p>
      <w:r>
        <w:rPr>
          <w:b/>
          <w:sz w:val="19"/>
        </w:rPr>
        <w:t xml:space="preserve">Übertragbarkeit: </w:t>
      </w:r>
      <w:r>
        <w:rPr>
          <w:sz w:val="19"/>
        </w:rPr>
        <w:t>USA-Studie, Mechanismus aber auf alle Mehrfachdiskriminierungs-Settings übertragbar, Deutschland mit migrantischen Communities.</w:t>
      </w:r>
    </w:p>
    <w:p>
      <w:r>
        <w:rPr>
          <w:color w:val="5A7D3A"/>
          <w:sz w:val="18"/>
        </w:rPr>
        <w:t>https://pubmed.ncbi.nlm.nih.gov/42847391/</w:t>
      </w:r>
    </w:p>
    <w:p>
      <w:pPr>
        <w:pStyle w:val="Heading2"/>
      </w:pPr>
      <w:r>
        <w:t>Yoga verbesserte Nierenfunktion bei CKD-Stadien 3–4 um 6,94 mL/min/1,73m² innerhalb 12 Wochen</w:t>
      </w:r>
    </w:p>
    <w:p>
      <w:r>
        <w:rPr>
          <w:i/>
          <w:color w:val="666666"/>
          <w:sz w:val="18"/>
        </w:rPr>
        <w:t>Nair RG et al.  ·  Ann Behav Med  ·  07.01.2026  ·  PMID 42847350</w:t>
      </w:r>
    </w:p>
    <w:p>
      <w:r>
        <w:t>Randomisierte kontrollierte Studie mit 81 CKD-Patienten in Stadien 3 und 4 (diabetische oder hypertensive Ätiologie), die 12 Wochen lang Yoga-Praktiken (5 Stunden pro Woche) zusätzlich zur Standardbehandlung erhielten.</w:t>
      </w:r>
    </w:p>
    <w:p>
      <w:r>
        <w:rPr>
          <w:b/>
        </w:rPr>
        <w:t xml:space="preserve">Ergebnis: </w:t>
      </w:r>
      <w:r>
        <w:t>Yoga-Gruppe zeigte signifikante Verbesserungen: Serum-Kreatinin -0,42 (p=0,013), geschätzte glomeruläre Filtrationsrate +6,94 mL/min/1,73m² (p=0,030), Urin-Albumin-Kreatinin-Ratio -464,2 mg/g (p=0,029) und TGF-β1 -218,2 pg/mL (p=0,021). Mediationsanalyse zeigt reduziertes TGF-β1 als Wirkpfad.</w:t>
      </w:r>
    </w:p>
    <w:p>
      <w:r>
        <w:rPr>
          <w:b/>
          <w:sz w:val="19"/>
        </w:rPr>
        <w:t xml:space="preserve">Übertragbarkeit: </w:t>
      </w:r>
      <w:r>
        <w:rPr>
          <w:sz w:val="19"/>
        </w:rPr>
        <w:t>Indien, aber Intervention universell einsetzbar, Kosteneffektivität, geringe Implementierungsbarrieren.</w:t>
      </w:r>
    </w:p>
    <w:p>
      <w:r>
        <w:rPr>
          <w:color w:val="5A7D3A"/>
          <w:sz w:val="18"/>
        </w:rPr>
        <w:t>https://pubmed.ncbi.nlm.nih.gov/42847350/</w:t>
      </w:r>
    </w:p>
    <w:p>
      <w:pPr>
        <w:pStyle w:val="Heading2"/>
      </w:pPr>
      <w:r>
        <w:t>Community-basierte Co-Design-Studie zu nachhaltiger Gesundheit bei Jugendlichen in Kanada und Jamaika</w:t>
      </w:r>
    </w:p>
    <w:p>
      <w:r>
        <w:rPr>
          <w:i/>
          <w:color w:val="666666"/>
          <w:sz w:val="18"/>
        </w:rPr>
        <w:t>Stennett R et al.  ·  BMJ Open  ·  07.10.2026  ·  PMID 42843868</w:t>
      </w:r>
    </w:p>
    <w:p>
      <w:r>
        <w:t>Protokoll einer Multimethod-Community-Based-Participatory-Research-Studie zur Entwicklung einer Intervention für Jugendliche (15–25 Jahre) zu nachhaltigem Lebensstil und Prävention nichtübertragbarer Erkrankungen durch Umwelt- und Gesundheitsperspektiven in zwei Phasen (kontextuelle Kartierung, Co-Design).</w:t>
      </w:r>
    </w:p>
    <w:p>
      <w:r>
        <w:rPr>
          <w:b/>
        </w:rPr>
        <w:t xml:space="preserve">Ergebnis: </w:t>
      </w:r>
      <w:r>
        <w:t>Dies ist ein Studienprotokoll, das die Machbarkeit, Umsetzungstreue und kontextuelle Passung einer SHAL-Intervention (Sustainability Healthy Active Living) in equity-deserving Populationen untersuchen wird. Erkenntnisse werden zur Finalisierung der Intervention und zu Best-Practice-Wissenstransfer in Konferenzen und Workshops führen. Fokus auf Jugendliche als Change Agents in präventiven, umweltbezogenen Systemen.</w:t>
      </w:r>
    </w:p>
    <w:p>
      <w:r>
        <w:rPr>
          <w:b/>
          <w:sz w:val="19"/>
        </w:rPr>
        <w:t xml:space="preserve">Übertragbarkeit: </w:t>
      </w:r>
      <w:r>
        <w:rPr>
          <w:sz w:val="19"/>
        </w:rPr>
        <w:t>Kanada mit vergleichbarem Versicherungssystem, präventives Gesundheitssystem mit Fokus auf Lebensstil und Mehrfacherkrankungen.</w:t>
      </w:r>
    </w:p>
    <w:p>
      <w:r>
        <w:rPr>
          <w:color w:val="5A7D3A"/>
          <w:sz w:val="18"/>
        </w:rPr>
        <w:t>https://pubmed.ncbi.nlm.nih.gov/42843868/</w:t>
      </w:r>
    </w:p>
    <w:p>
      <w:pPr>
        <w:pStyle w:val="Heading2"/>
      </w:pPr>
      <w:r>
        <w:t>COPD-Symptommonitoring in Pulmonalrehabilitation sagte schwere Exazerbationen nicht zuverlässig voraus</w:t>
      </w:r>
    </w:p>
    <w:p>
      <w:r>
        <w:rPr>
          <w:i/>
          <w:color w:val="666666"/>
          <w:sz w:val="18"/>
        </w:rPr>
        <w:t>Machefert M et al.  ·  Pulmonology  ·  07.10.2026  ·  PMID 42841793</w:t>
      </w:r>
    </w:p>
    <w:p>
      <w:r>
        <w:t>Prospektive Multicenterstudie mit 128 stabilen COPD-Patienten in Erhaltungs-Pulmonalrehabilitationen in Frankreich über ein Jahr mit 4.200 dokumentierten Sitzungen zur Vorhersage schwerer Exazerbationen durch klinische und Belastungsparameter.</w:t>
      </w:r>
    </w:p>
    <w:p>
      <w:r>
        <w:rPr>
          <w:b/>
        </w:rPr>
        <w:t xml:space="preserve">Ergebnis: </w:t>
      </w:r>
      <w:r>
        <w:t>Von 128 Patienten erlebten 19 (14,8%) schwere Exazerbationen. Routinemäßig dokumentierte klinische Marker (COPD Assessment Test, modifizierte Borg-Skala, Belastungsleistung) zeigten begrenzte Vorhersagekraft (AUC 0,45–0,58, alle p&gt;0,1); schwache zeitliche Assoziationen zwischen Symptomen und Leistung. Dies unterstreicht Komplexität der Exazerbationen und Bedarf für digitales Multiparameter-Monitoring.</w:t>
      </w:r>
    </w:p>
    <w:p>
      <w:r>
        <w:rPr>
          <w:b/>
          <w:sz w:val="19"/>
        </w:rPr>
        <w:t xml:space="preserve">Übertragbarkeit: </w:t>
      </w:r>
      <w:r>
        <w:rPr>
          <w:sz w:val="19"/>
        </w:rPr>
        <w:t>Frankreich, vergleichbare ambulante Strukturen, Finanzierung und Reha-Programme ähnlich Deutschland.</w:t>
      </w:r>
    </w:p>
    <w:p>
      <w:r>
        <w:rPr>
          <w:color w:val="5A7D3A"/>
          <w:sz w:val="18"/>
        </w:rPr>
        <w:t>https://pubmed.ncbi.nlm.nih.gov/42841793/</w:t>
      </w:r>
    </w:p>
    <w:p>
      <w:pPr>
        <w:pStyle w:val="Heading2"/>
      </w:pPr>
      <w:r>
        <w:t>Adipositas erhöhte chirurgische Komplikationen nach Nierentransplantation, nicht aber Langzeitüberleben</w:t>
      </w:r>
    </w:p>
    <w:p>
      <w:r>
        <w:rPr>
          <w:i/>
          <w:color w:val="666666"/>
          <w:sz w:val="18"/>
        </w:rPr>
        <w:t>Melera E et al.  ·  Clin Transplant  ·  Okt. 2026  ·  PMID 42839226</w:t>
      </w:r>
    </w:p>
    <w:p>
      <w:r>
        <w:t>Schweizer Einzelzentrum-Retrospektivstudie mit 953 aufeinanderfolgenden Nierenpatienten (150 adipös, BMI ≥30; 803 nicht adipös) von 1999 bis 2023 zur Auswirkung von Empfängeradipositas auf kurz- und langfristige Transplantationsergebnisse.</w:t>
      </w:r>
    </w:p>
    <w:p>
      <w:r>
        <w:rPr>
          <w:b/>
        </w:rPr>
        <w:t xml:space="preserve">Ergebnis: </w:t>
      </w:r>
      <w:r>
        <w:t>Adipöse Empfänger hatten höhere Raten von Operationsstellen-Infektionen (11 % vs. 3 %, p&lt;0,001), Gesamtinfektionen (29 % vs. 5 %, p&lt;0,001), Lymphozylen (18 % vs. 10 %, p=0,007), inkisionalen Hernien (10 % vs. 5 %, p=0,032) und verspäteter Transplantatalfunction (21 % vs. 14 %, p=0,024). Längerer Aufenthalt: 19 vs. 17 Tage (p=0,038). Patienten- und Transplantat-Überleben nach 7,3 Jahren gleich (Hazard Ratio 1,09 bzw. 0,92, p&gt;0,05). Adipositas sollte kein Kontraindikationskriterium sein.</w:t>
      </w:r>
    </w:p>
    <w:p>
      <w:r>
        <w:rPr>
          <w:b/>
          <w:sz w:val="19"/>
        </w:rPr>
        <w:t xml:space="preserve">Übertragbarkeit: </w:t>
      </w:r>
      <w:r>
        <w:rPr>
          <w:sz w:val="19"/>
        </w:rPr>
        <w:t>Schweiz, vergleichbares Sozialsystem und Transplantationsstruktur wie Deutschland und DACH-Region.</w:t>
      </w:r>
    </w:p>
    <w:p>
      <w:r>
        <w:rPr>
          <w:color w:val="5A7D3A"/>
          <w:sz w:val="18"/>
        </w:rPr>
        <w:t>https://pubmed.ncbi.nlm.nih.gov/42839226/</w:t>
      </w:r>
    </w:p>
    <w:p>
      <w:pPr>
        <w:pStyle w:val="Heading2"/>
      </w:pPr>
      <w:r>
        <w:t>Typ-2-Diabetes: Nierenerkrankungsrate sank von 55,3 auf 43,7 pro 1000 Personenjahre</w:t>
      </w:r>
    </w:p>
    <w:p>
      <w:r>
        <w:rPr>
          <w:i/>
          <w:color w:val="666666"/>
          <w:sz w:val="18"/>
        </w:rPr>
        <w:t>Lee CJ et al.  ·  Diabetes Obes Metab  ·  09.08.2026  ·  PMID 42571988</w:t>
      </w:r>
    </w:p>
    <w:p>
      <w:r>
        <w:t>Dänische Registeranalyse zur Prävalenz, Inzidenz und Mortalität der chronischen Nierenerkrankung bei 1,3 Millionen Personen mit Typ-1 und Typ-2-Diabetes zwischen 2016 und 2024.</w:t>
      </w:r>
    </w:p>
    <w:p>
      <w:r>
        <w:rPr>
          <w:b/>
        </w:rPr>
        <w:t xml:space="preserve">Ergebnis: </w:t>
      </w:r>
      <w:r>
        <w:t>Die Prävalenz der Nierenerkrankung stieg bei Typ-2-Diabetes von 24,8 % auf 37,3 %, die Inzidenz sank aber von 55,3 auf 43,7 pro 1000 Personenjahre (Hochaltrigkeit ≥70 Jahre: von 93,6 auf 74,3), die Mortalität blieb bei Patienten mit Nierenerkrankung erhöht. Das zeigt Prävention wirkt, Früherkennung aber lückenhaft.</w:t>
      </w:r>
    </w:p>
    <w:p>
      <w:r>
        <w:rPr>
          <w:b/>
          <w:sz w:val="19"/>
        </w:rPr>
        <w:t xml:space="preserve">Übertragbarkeit: </w:t>
      </w:r>
      <w:r>
        <w:rPr>
          <w:sz w:val="19"/>
        </w:rPr>
        <w:t>Dänisches Register mit deutschen Strukturen vergleichbar, DMP-Daten könnten ähnliche Trends zeigen.</w:t>
      </w:r>
    </w:p>
    <w:p>
      <w:r>
        <w:rPr>
          <w:color w:val="5A7D3A"/>
          <w:sz w:val="18"/>
        </w:rPr>
        <w:t>https://pubmed.ncbi.nlm.nih.gov/42571988/</w:t>
      </w:r>
    </w:p>
    <w:p>
      <w:pPr>
        <w:pStyle w:val="Heading1"/>
      </w:pPr>
      <w:r>
        <w:t>Aufgenommen am 08.10.2026</w:t>
      </w:r>
    </w:p>
    <w:p>
      <w:pPr>
        <w:pStyle w:val="Heading2"/>
      </w:pPr>
      <w:r>
        <w:t>Präoperative Versorgungspfade für Patienten mit Mehrfacherkrankungen: kaum spezialisierte Programme vorhanden</w:t>
      </w:r>
    </w:p>
    <w:p>
      <w:r>
        <w:rPr>
          <w:i/>
          <w:color w:val="666666"/>
          <w:sz w:val="18"/>
        </w:rPr>
        <w:t>Mikula-Noble NM et al.  ·  BMJ Open  ·  07.10.2026  ·  PMID 42843878</w:t>
      </w:r>
    </w:p>
    <w:p>
      <w:r>
        <w:t>Systematische Übersicht über präoperative Interventionen für Patienten mit Mehrfacherkrankungen vor großen Operationen – Suche nach spezifischen Programmen für diese Hochrisikogruppe.</w:t>
      </w:r>
    </w:p>
    <w:p>
      <w:r>
        <w:rPr>
          <w:b/>
        </w:rPr>
        <w:t xml:space="preserve">Ergebnis: </w:t>
      </w:r>
      <w:r>
        <w:t>Von 138 Studien mit Mehrfacherkrankungskohorten wurden 34 eingeschlossen: nur 6 (18 %) diskutierten Interventionen für gemischte Kohorten, nur 3 (9 %) berichteten über allgemeine chirurgische Interventionen bei Mehrfacherkrankten. Es existieren praktisch keine auf Mehrfacherkrankung zugeschnittenen präoperativen Programme.</w:t>
      </w:r>
    </w:p>
    <w:p>
      <w:r>
        <w:rPr>
          <w:b/>
          <w:sz w:val="19"/>
        </w:rPr>
        <w:t xml:space="preserve">Übertragbarkeit: </w:t>
      </w:r>
      <w:r>
        <w:rPr>
          <w:sz w:val="19"/>
        </w:rPr>
        <w:t>Großbritannien – vergleichbare perioperative Strukturen und Dokumentation, Problem der fehlenden Spezialisierung übertragbar.</w:t>
      </w:r>
    </w:p>
    <w:p>
      <w:r>
        <w:rPr>
          <w:color w:val="5A7D3A"/>
          <w:sz w:val="18"/>
        </w:rPr>
        <w:t>https://pubmed.ncbi.nlm.nih.gov/42843878/</w:t>
      </w:r>
    </w:p>
    <w:p>
      <w:pPr>
        <w:pStyle w:val="Heading2"/>
      </w:pPr>
      <w:r>
        <w:t>Insulinresistenz sagte Hepatokarzinom bei viruskontrollierter Hepatitis B voraus</w:t>
      </w:r>
    </w:p>
    <w:p>
      <w:r>
        <w:rPr>
          <w:i/>
          <w:color w:val="666666"/>
          <w:sz w:val="18"/>
        </w:rPr>
        <w:t>Sinn DH et al.  ·  J Korean Med Sci  ·  05.10.2026  ·  PMID 42843350</w:t>
      </w:r>
    </w:p>
    <w:p>
      <w:r>
        <w:t>Prospektive Multizenterstudie an 334 HBV-Zirrhose-Patienten unter antiviraler Therapie zur Prognosevalenz der Insulinresistenz (HOMA2-IR) für HCC-Entwicklung.</w:t>
      </w:r>
    </w:p>
    <w:p>
      <w:r>
        <w:rPr>
          <w:b/>
        </w:rPr>
        <w:t xml:space="preserve">Ergebnis: </w:t>
      </w:r>
      <w:r>
        <w:t>Bei Median-Nachbeobachtung von 7,45 Jahren entwickelten 62 Patienten (18,6 %) HCC. Jede HOMA2-IR-Einheitssteigerung korrelierte mit erhöhtem HCC-Risiko (HR 1,53; 95 % KI 1,16–2,04). Patienten mit HOMA2-IR ≥ 2,3 hatten 5-Jahres-HCC-Inzidenz von 30,6 % versus 12,3 % bei HOMA2-IR &lt; 2,3 (adjustierte HR 2,62; 95 % KI 1,40–4,91).</w:t>
      </w:r>
    </w:p>
    <w:p>
      <w:r>
        <w:rPr>
          <w:b/>
          <w:sz w:val="19"/>
        </w:rPr>
        <w:t xml:space="preserve">Übertragbarkeit: </w:t>
      </w:r>
      <w:r>
        <w:rPr>
          <w:sz w:val="19"/>
        </w:rPr>
        <w:t>Südkorea – Multizenterstudie; Biomarker unabhängig vom Gesundheitssystem; aber HCC-Screening-Algorithmen regional unterschiedlich.</w:t>
      </w:r>
    </w:p>
    <w:p>
      <w:r>
        <w:rPr>
          <w:color w:val="5A7D3A"/>
          <w:sz w:val="18"/>
        </w:rPr>
        <w:t>https://pubmed.ncbi.nlm.nih.gov/42843350/</w:t>
      </w:r>
    </w:p>
    <w:p>
      <w:pPr>
        <w:pStyle w:val="Heading2"/>
      </w:pPr>
      <w:r>
        <w:t>Integrierte Atemwegsversorgung in Irland: Hausärzte berichten Chancen und Lücken</w:t>
      </w:r>
    </w:p>
    <w:p>
      <w:r>
        <w:rPr>
          <w:i/>
          <w:color w:val="666666"/>
          <w:sz w:val="18"/>
        </w:rPr>
        <w:t>O'Brien H et al.  ·  Prim Health Care Res Dev  ·  07.10.2026  ·  PMID 42839305</w:t>
      </w:r>
    </w:p>
    <w:p>
      <w:r>
        <w:t>Qualitative Befragung von 112 Hausärzten zur Umsetzung eines neuen Disease-Management-Programms für COPD und Asthma mit lokalen Fachteams in Irland.</w:t>
      </w:r>
    </w:p>
    <w:p>
      <w:r>
        <w:rPr>
          <w:b/>
        </w:rPr>
        <w:t xml:space="preserve">Ergebnis: </w:t>
      </w:r>
      <w:r>
        <w:t>87 % bewerteten integrierte Care-Hubs als gut bis ausgezeichnet und 84 % als überlegen gegenüber Krankenhausambulanzen, doch 52 % berichteten unzureichende Diagnostik, 45 % verzögerte Rückmeldungen und 50 % mangelnde Spezialunterstützung. Selbstberichtete Sicherheit in Leitlinienwissen moderat (7/10 für beide Erkrankungen), sehr niedrig bei Lungenfunktionstests (3/10).</w:t>
      </w:r>
    </w:p>
    <w:p>
      <w:r>
        <w:rPr>
          <w:b/>
          <w:sz w:val="19"/>
        </w:rPr>
        <w:t xml:space="preserve">Übertragbarkeit: </w:t>
      </w:r>
      <w:r>
        <w:rPr>
          <w:sz w:val="19"/>
        </w:rPr>
        <w:t>Irland – comparable Primarversorgung, ähnliche NHS-Finanzierung, jedoch spezifische Koordinationsstruktur.</w:t>
      </w:r>
    </w:p>
    <w:p>
      <w:r>
        <w:rPr>
          <w:color w:val="5A7D3A"/>
          <w:sz w:val="18"/>
        </w:rPr>
        <w:t>https://pubmed.ncbi.nlm.nih.gov/42839305/</w:t>
      </w:r>
    </w:p>
    <w:p>
      <w:pPr>
        <w:pStyle w:val="Heading2"/>
      </w:pPr>
      <w:r>
        <w:t>Dupilumab reduzierte Exazerbationen bei COPD mit Typ-2-Entzündung um 70 Prozent</w:t>
      </w:r>
    </w:p>
    <w:p>
      <w:r>
        <w:rPr>
          <w:i/>
          <w:color w:val="666666"/>
          <w:sz w:val="18"/>
        </w:rPr>
        <w:t>Abdo M et al.  ·  Respir Res  ·  06.10.2026  ·  PMID 42839285</w:t>
      </w:r>
    </w:p>
    <w:p>
      <w:r>
        <w:t>Multizentrische Analyse deutscher Kliniken zur Wirksamkeit von Dupilumab bei COPD-Patienten mit Typ-2-Entzündung unter Routinebedingungen.</w:t>
      </w:r>
    </w:p>
    <w:p>
      <w:r>
        <w:rPr>
          <w:b/>
        </w:rPr>
        <w:t xml:space="preserve">Ergebnis: </w:t>
      </w:r>
      <w:r>
        <w:t>Bei 99 Patienten sank die annualisierte Rate moderater bis schwerer Exazerbationen von 3,52 auf 1,04 pro Jahr (70 % Reduktion), der CAT-Score verbesserte sich um 4,5 Punkte, konsistent über Subgruppen hinweg. 8 Patienten zeigten keine Reduktion unter Behandlung.</w:t>
      </w:r>
    </w:p>
    <w:p>
      <w:r>
        <w:rPr>
          <w:b/>
          <w:sz w:val="19"/>
        </w:rPr>
        <w:t xml:space="preserve">Übertragbarkeit: </w:t>
      </w:r>
      <w:r>
        <w:rPr>
          <w:sz w:val="19"/>
        </w:rPr>
        <w:t>Deutsche Klinikdaten, vergleichbare Dokumentationspflichten und Versorgungsstruktur.</w:t>
      </w:r>
    </w:p>
    <w:p>
      <w:r>
        <w:rPr>
          <w:color w:val="5A7D3A"/>
          <w:sz w:val="18"/>
        </w:rPr>
        <w:t>https://pubmed.ncbi.nlm.nih.gov/42839285/</w:t>
      </w:r>
    </w:p>
    <w:p>
      <w:pPr>
        <w:pStyle w:val="Heading2"/>
      </w:pPr>
      <w:r>
        <w:t>Anhaltende Symptombelastung bei Lupus erythematodes: ein klinischer Phänotyp ähnlich ME/CFS identifiziert</w:t>
      </w:r>
    </w:p>
    <w:p>
      <w:r>
        <w:rPr>
          <w:i/>
          <w:color w:val="666666"/>
          <w:sz w:val="18"/>
        </w:rPr>
        <w:t>Habermann-Horstmeier L  ·  J Transl Med  ·  25.09.2026  ·  PMID 42806386</w:t>
      </w:r>
    </w:p>
    <w:p>
      <w:r>
        <w:t>Hypothesengenerierendes Rahmenwerk zur Charakterisierung einer Untergruppe von Patienten mit langjährigem systemischem Lupus erythematodes, die trotz niedriger Krankheitsaktivität persistierende Müdigkeit, Funktionsbeeinträchtigung und kognititive Symptome aufweisen.</w:t>
      </w:r>
    </w:p>
    <w:p>
      <w:r>
        <w:rPr>
          <w:b/>
        </w:rPr>
        <w:t xml:space="preserve">Ergebnis: </w:t>
      </w:r>
      <w:r>
        <w:t>Vorgeschlagene SLE-ME/CFS-Forschungsphänotyp kombiniert persistierende funktionslimitierende Symptome trotz Remission oder niedriger Aktivität mit Müdigkeit seit mindestens 6 Monaten, postexertioneller Symptomverschlechterung, unerquicklichem Schlaf und kognitiven Symptomen. Evidenz unterstützt Beteiligung residualer Immunaktivierung, oxidativen Stresses, Mitochondrienstörungen und Endotheldysfunktion.</w:t>
      </w:r>
    </w:p>
    <w:p>
      <w:r>
        <w:rPr>
          <w:b/>
          <w:sz w:val="19"/>
        </w:rPr>
        <w:t xml:space="preserve">Übertragbarkeit: </w:t>
      </w:r>
      <w:r>
        <w:rPr>
          <w:sz w:val="19"/>
        </w:rPr>
        <w:t>Deutschland – Literaturanalyse, Konzeptentwicklung; Validierung in Kohortenstudien notwendig, aber Phänotypisierung für Versorgung relevant.</w:t>
      </w:r>
    </w:p>
    <w:p>
      <w:r>
        <w:rPr>
          <w:color w:val="5A7D3A"/>
          <w:sz w:val="18"/>
        </w:rPr>
        <w:t>https://pubmed.ncbi.nlm.nih.gov/42806386/</w:t>
      </w:r>
    </w:p>
    <w:p>
      <w:pPr>
        <w:pStyle w:val="Heading2"/>
      </w:pPr>
      <w:r>
        <w:t>Kollagen-Abbau-Biomarker im Urin erfasst Fibrose über Organgrenzen hinweg</w:t>
      </w:r>
    </w:p>
    <w:p>
      <w:r>
        <w:rPr>
          <w:i/>
          <w:color w:val="666666"/>
          <w:sz w:val="18"/>
        </w:rPr>
        <w:t>Mina IK et al.  ·  Mol Med  ·  23.09.2026  ·  PMID 42778889</w:t>
      </w:r>
    </w:p>
    <w:p>
      <w:r>
        <w:t>Multikohorten-Proteomik-Studie zur Identifikation eines gemeinsamen Signatures von Kollagen-Typ-I-Abbau-Peptiden im Urin, das Leberfibrose, chronische Nierenerkrankung und Herzinsuffizienz charakterisiert.</w:t>
      </w:r>
    </w:p>
    <w:p>
      <w:r>
        <w:rPr>
          <w:b/>
        </w:rPr>
        <w:t xml:space="preserve">Ergebnis: </w:t>
      </w:r>
      <w:r>
        <w:t>50 Kollagen-Typ-I-Abbau-Produkte definierten eine gemeinsame Fibrose-Signatur; Support-Vector-Machine-Modell erreichte AUC 0,935 (95 % KI 0,917–0,953) in externer Validierung über gepoolte Erkrankungsgruppen, erhalten für Leber (AUC 0,917), Niere (0,951) und Herz (0,950). Modellwerte korrelierten mit Fibrosestadium in Leber und interstitieller Fibrose in Niere.</w:t>
      </w:r>
    </w:p>
    <w:p>
      <w:r>
        <w:rPr>
          <w:b/>
          <w:sz w:val="19"/>
        </w:rPr>
        <w:t xml:space="preserve">Übertragbarkeit: </w:t>
      </w:r>
      <w:r>
        <w:rPr>
          <w:sz w:val="19"/>
        </w:rPr>
        <w:t>Multinationale europäische und britische Kohorten, Urindiagnostik universell verfügbar; Fibrose-Screening unabhängig vom Organ übertragbar.</w:t>
      </w:r>
    </w:p>
    <w:p>
      <w:r>
        <w:rPr>
          <w:color w:val="5A7D3A"/>
          <w:sz w:val="18"/>
        </w:rPr>
        <w:t>https://pubmed.ncbi.nlm.nih.gov/42778889/</w:t>
      </w:r>
    </w:p>
    <w:p>
      <w:pPr>
        <w:pStyle w:val="Heading1"/>
      </w:pPr>
      <w:r>
        <w:t>Aufgenommen am 07.10.2026</w:t>
      </w:r>
    </w:p>
    <w:p>
      <w:pPr>
        <w:pStyle w:val="Heading2"/>
      </w:pPr>
      <w:r>
        <w:t>Chronische Nierenkrankheit in der Tertiärversorgung: Screening deckt Unterbehandlung auf</w:t>
      </w:r>
    </w:p>
    <w:p>
      <w:r>
        <w:rPr>
          <w:i/>
          <w:color w:val="666666"/>
          <w:sz w:val="18"/>
        </w:rPr>
        <w:t>Zahradka I et al.  ·  BMJ Open  ·  06.10.2026  ·  PMID 42838586</w:t>
      </w:r>
    </w:p>
    <w:p>
      <w:r>
        <w:t>Querschnittstudie an 2.903 Patienten in Tertiärkliniken Mitteleuropas zur Prävalenz chronischer Nierenkrankheit (CKD) und Nutzung renoprotek­tiver Therapien.</w:t>
      </w:r>
    </w:p>
    <w:p>
      <w:r>
        <w:rPr>
          <w:b/>
        </w:rPr>
        <w:t xml:space="preserve">Ergebnis: </w:t>
      </w:r>
      <w:r>
        <w:t>CKD-Prävalenz 32,5 %; eine neue Diagnose pro 5,2 Gescreente. Renoprotek­tive Therapie stark untergenutzt: SGLT2-Inhibitoren 42 %, GLP-1-Rezeptoragonisten 41,7 %, nichtsteroidale Mineralokortikoidrezeptorantagonisten 6,7 % der Berechtigten. Modellierte Gewinnchancen dialysefreier Zeit durch Therapieeinleitung: 11,13 Monate pro Patient im Durchschnitt.</w:t>
      </w:r>
    </w:p>
    <w:p>
      <w:r>
        <w:rPr>
          <w:b/>
          <w:sz w:val="19"/>
        </w:rPr>
        <w:t xml:space="preserve">Übertragbarkeit: </w:t>
      </w:r>
      <w:r>
        <w:rPr>
          <w:sz w:val="19"/>
        </w:rPr>
        <w:t>Tertiärzentrumsdaten; Übertragbarkeit auf spezialisierte Versorgung in Deutschland eingeschränkt</w:t>
      </w:r>
    </w:p>
    <w:p>
      <w:r>
        <w:rPr>
          <w:color w:val="5A7D3A"/>
          <w:sz w:val="18"/>
        </w:rPr>
        <w:t>https://pubmed.ncbi.nlm.nih.gov/42838586/</w:t>
      </w:r>
    </w:p>
    <w:p>
      <w:pPr>
        <w:pStyle w:val="Heading2"/>
      </w:pPr>
      <w:r>
        <w:t>Begrenzte antivirale Therapie der chronischen Hepatitis B: Mehr HBsAg-Verlust, aber häufige Rückfälle</w:t>
      </w:r>
    </w:p>
    <w:p>
      <w:r>
        <w:rPr>
          <w:i/>
          <w:color w:val="666666"/>
          <w:sz w:val="18"/>
        </w:rPr>
        <w:t>Gomez DP et al.  ·  J Viral Hepat  ·  Nov. 2026  ·  PMID 42834661</w:t>
      </w:r>
    </w:p>
    <w:p>
      <w:r>
        <w:t>Meta-Analyse von 4 randomisierten Studien (n=357) zu endlicher versus unbegrenzter Nukleosid(t)id-Therapie bei HBeAg-negativer chronischer Hepatitis B ohne Zirrhose.</w:t>
      </w:r>
    </w:p>
    <w:p>
      <w:r>
        <w:rPr>
          <w:b/>
        </w:rPr>
        <w:t xml:space="preserve">Ergebnis: </w:t>
      </w:r>
      <w:r>
        <w:t>Therapiebeendigung erhöhte HBsAg-Verlust (RR 5,02; KI 0,47–53,47, niedrige Evidenzsicherheit), aber markant virales Rezidiv (RR 23,09) und Therapierückfall (RR 21,94). Keine hepatische Dekompensation oder schwere unerwünschte Ereignisse. Strategie für selektierte, gut überwachte Patienten in Expertenzentren.</w:t>
      </w:r>
    </w:p>
    <w:p>
      <w:r>
        <w:rPr>
          <w:b/>
          <w:sz w:val="19"/>
        </w:rPr>
        <w:t xml:space="preserve">Übertragbarkeit: </w:t>
      </w:r>
      <w:r>
        <w:rPr>
          <w:sz w:val="19"/>
        </w:rPr>
        <w:t>Internationale RCT-Daten; Übertragbarkeit auf deutsches Versicherungssystem hoch</w:t>
      </w:r>
    </w:p>
    <w:p>
      <w:r>
        <w:rPr>
          <w:color w:val="5A7D3A"/>
          <w:sz w:val="18"/>
        </w:rPr>
        <w:t>https://pubmed.ncbi.nlm.nih.gov/42834661/</w:t>
      </w:r>
    </w:p>
    <w:p>
      <w:pPr>
        <w:pStyle w:val="Heading2"/>
      </w:pPr>
      <w:r>
        <w:t>Direktwirkende Antivirale bei Hepatitis C und Leberkrebs: Hohe Heilungsraten, erhaltene Leberfunktion</w:t>
      </w:r>
    </w:p>
    <w:p>
      <w:r>
        <w:rPr>
          <w:i/>
          <w:color w:val="666666"/>
          <w:sz w:val="18"/>
        </w:rPr>
        <w:t>Sato S et al.  ·  J Viral Hepat  ·  Nov. 2026  ·  PMID 42834589</w:t>
      </w:r>
    </w:p>
    <w:p>
      <w:r>
        <w:t>Retrospektive Kohortenstudie (n=690) zu Wirksamkeit und Leberfunktion nach direktwirkender antiviraler Therapie bei Hepatitis-C-Patienten mit und ohne Leberkrebs (HCC)-Vorgeschichte.</w:t>
      </w:r>
    </w:p>
    <w:p>
      <w:r>
        <w:rPr>
          <w:b/>
        </w:rPr>
        <w:t xml:space="preserve">Ergebnis: </w:t>
      </w:r>
      <w:r>
        <w:t>Gesamte SVR12-Rate 96,1 % über alle Gruppen, unabhängig von HCC-Vorgeschichte. ALBI-Score (Leberfunktion) verbesserte sich bei kurativer HCC-Behandlung (−2,35 zu −2,58, p&lt;0,001), blieb unter nicht-kurativer Behandlung stabil. Bei HCC-Rezidiv ALBI-Score verbessert (−2,31 zu −2,57, p&lt;0,001); &gt;90 % blieben Child-Pugh A.</w:t>
      </w:r>
    </w:p>
    <w:p>
      <w:r>
        <w:rPr>
          <w:b/>
          <w:sz w:val="19"/>
        </w:rPr>
        <w:t xml:space="preserve">Übertragbarkeit: </w:t>
      </w:r>
      <w:r>
        <w:rPr>
          <w:sz w:val="19"/>
        </w:rPr>
        <w:t>Japanisches Zentrum; Leberfunktionsergebnisse international vergleichbar</w:t>
      </w:r>
    </w:p>
    <w:p>
      <w:r>
        <w:rPr>
          <w:color w:val="5A7D3A"/>
          <w:sz w:val="18"/>
        </w:rPr>
        <w:t>https://pubmed.ncbi.nlm.nih.gov/42834589/</w:t>
      </w:r>
    </w:p>
    <w:p>
      <w:pPr>
        <w:pStyle w:val="Heading2"/>
      </w:pPr>
      <w:r>
        <w:t>Lebensqualität bei chronischer Nierenkrankheit: Bildungsstand und Einkommen entscheidend</w:t>
      </w:r>
    </w:p>
    <w:p>
      <w:r>
        <w:rPr>
          <w:i/>
          <w:color w:val="666666"/>
          <w:sz w:val="18"/>
        </w:rPr>
        <w:t>Akter F et al.  ·  BMJ Open  ·  05.10.2026  ·  PMID 42833721</w:t>
      </w:r>
    </w:p>
    <w:p>
      <w:r>
        <w:t>Querschnittstudie (n=315) in Bangladesch zur Identifikation von Profilen der gesundheitsbezogenen Lebensqualität bei CKD mittels latenter Profilanalyse und deren Prädiktoren.</w:t>
      </w:r>
    </w:p>
    <w:p>
      <w:r>
        <w:rPr>
          <w:b/>
        </w:rPr>
        <w:t xml:space="preserve">Ergebnis: </w:t>
      </w:r>
      <w:r>
        <w:t>Drei Qualitäts-Profile: niedrig (20,95 %), mittel (34,29 %), hoch (44,76 %). Höheres Einkommen und Bildung senken Risiko niedriger Lebensqualität; verheiratet und weniger Komorbiditäten erhöhen Wahrscheinlichkeit hoher Lebensqualität. Signifikante Prädiktoren: Einkommen, Bildung, Familienstand, Komorbiditätenanzahl (alle p&lt;0,05).</w:t>
      </w:r>
    </w:p>
    <w:p>
      <w:r>
        <w:rPr>
          <w:b/>
          <w:sz w:val="19"/>
        </w:rPr>
        <w:t xml:space="preserve">Übertragbarkeit: </w:t>
      </w:r>
      <w:r>
        <w:rPr>
          <w:sz w:val="19"/>
        </w:rPr>
        <w:t>Low-Resource-Setting; Patient-reported Outcomes-Methodik international anwendbar</w:t>
      </w:r>
    </w:p>
    <w:p>
      <w:r>
        <w:rPr>
          <w:color w:val="5A7D3A"/>
          <w:sz w:val="18"/>
        </w:rPr>
        <w:t>https://pubmed.ncbi.nlm.nih.gov/42833721/</w:t>
      </w:r>
    </w:p>
    <w:p>
      <w:pPr>
        <w:pStyle w:val="Heading2"/>
      </w:pPr>
      <w:r>
        <w:t>Verlängerte Fastenpausen beschleunigen Multimorbidität bei älteren Erwachsenen</w:t>
      </w:r>
    </w:p>
    <w:p>
      <w:r>
        <w:rPr>
          <w:i/>
          <w:color w:val="666666"/>
          <w:sz w:val="18"/>
        </w:rPr>
        <w:t>Kalmbach L et al.  ·  J Intern Med  ·  20.08.2026  ·  PMID 42621849</w:t>
      </w:r>
    </w:p>
    <w:p>
      <w:r>
        <w:t>Längskohorte (n=2.981, ≥60 Jahre) mit 15-jähriger Nachverfolgung zum Zusammenhang zwischen habitueller Fastendauer (längste Essenspause in 24h) und Akkumulation chronischer Erkrankungen.</w:t>
      </w:r>
    </w:p>
    <w:p>
      <w:r>
        <w:rPr>
          <w:b/>
        </w:rPr>
        <w:t xml:space="preserve">Ergebnis: </w:t>
      </w:r>
      <w:r>
        <w:t>Gegenüber kürzesten Fastenpausen (6–11,5 h) zeigten längste Pausen (14–24 h) steilere jährliche Zunahme Gesamtkrankheiten (β=0,119; KI 0,070–0,167), kardiovaskuläre (0,022; KI 0,006–0,038) und neuropsychiatrische Erkrankungen (0,019; KI 0,005–0,033). Effekt nur bei ≥78 Jahren signifikant (β=0,099; KI 0,031–0,168), nicht bei &lt;78 Jahren.</w:t>
      </w:r>
    </w:p>
    <w:p>
      <w:r>
        <w:rPr>
          <w:b/>
          <w:sz w:val="19"/>
        </w:rPr>
        <w:t xml:space="preserve">Übertragbarkeit: </w:t>
      </w:r>
      <w:r>
        <w:rPr>
          <w:sz w:val="19"/>
        </w:rPr>
        <w:t>Schwedische Bevölkerungskohorte; Altersgruppen übertragbar auf deutsche Versorgung</w:t>
      </w:r>
    </w:p>
    <w:p>
      <w:r>
        <w:rPr>
          <w:color w:val="5A7D3A"/>
          <w:sz w:val="18"/>
        </w:rPr>
        <w:t>https://pubmed.ncbi.nlm.nih.gov/42621849/</w:t>
      </w:r>
    </w:p>
    <w:p>
      <w:pPr>
        <w:pStyle w:val="Heading1"/>
      </w:pPr>
      <w:r>
        <w:t>Aufgenommen am 06.10.2026</w:t>
      </w:r>
    </w:p>
    <w:p>
      <w:pPr>
        <w:pStyle w:val="Heading2"/>
      </w:pPr>
      <w:r>
        <w:t>Hausarztpraxen für Flüchtlinge mit Hepatitis B besser geeignet als Spezialkliniken</w:t>
      </w:r>
    </w:p>
    <w:p>
      <w:r>
        <w:rPr>
          <w:i/>
          <w:color w:val="666666"/>
          <w:sz w:val="18"/>
        </w:rPr>
        <w:t>Fakhouri A et al.  ·  Aust J Prim Health  ·  20.10.2026  ·  PMID 42833621</w:t>
      </w:r>
    </w:p>
    <w:p>
      <w:r>
        <w:t>Qualitative australische Studie (15 semi-strukturierte Interviews): Erkundung, wie Hausarztpraxen für Flüchtlinge chronische Hepatitis-B-Versorgung gestalten und wo Verbesserungen nötig sind.</w:t>
      </w:r>
    </w:p>
    <w:p>
      <w:r>
        <w:rPr>
          <w:b/>
        </w:rPr>
        <w:t xml:space="preserve">Ergebnis: </w:t>
      </w:r>
      <w:r>
        <w:t>Hausarztpraxen bieten Vorteile: Comunity-Integration, Rapport, Dolmetscher-Services. Barrieren sind Gesundheitskompetenz und Kosten. Empfehlung: Finanzierung und Schulung von Hausarztpraxen zur HBV-Versorgung würden bessere Ergebnisse für vulnerable Bevölkerung bringen.</w:t>
      </w:r>
    </w:p>
    <w:p>
      <w:r>
        <w:rPr>
          <w:b/>
          <w:sz w:val="19"/>
        </w:rPr>
        <w:t xml:space="preserve">Übertragbarkeit: </w:t>
      </w:r>
      <w:r>
        <w:rPr>
          <w:sz w:val="19"/>
        </w:rPr>
        <w:t>Australien - hohes Einkommen, andere Struktur, aber Ungleichheitsfrage universell</w:t>
      </w:r>
    </w:p>
    <w:p>
      <w:r>
        <w:rPr>
          <w:color w:val="5A7D3A"/>
          <w:sz w:val="18"/>
        </w:rPr>
        <w:t>https://pubmed.ncbi.nlm.nih.gov/42833621/</w:t>
      </w:r>
    </w:p>
    <w:p>
      <w:pPr>
        <w:pStyle w:val="Heading2"/>
      </w:pPr>
      <w:r>
        <w:t>Ein Viertel der COPD-Patienten hat Exazerbationen trotz Doppel- oder Tripeltherapie</w:t>
      </w:r>
    </w:p>
    <w:p>
      <w:r>
        <w:rPr>
          <w:i/>
          <w:color w:val="666666"/>
          <w:sz w:val="18"/>
        </w:rPr>
        <w:t>Radovanovic D et al.  ·  Int J Chron Obstruct Pulmon Dis  ·  30.09.2026  ·  PMID 42831088</w:t>
      </w:r>
    </w:p>
    <w:p>
      <w:r>
        <w:t>Italienische GULP-Kohorte (1.111 COPD-Patienten): Exploratorische Analyse zur Häufigkeit anhaltender Symptome unter optimaler Erhaltungstherapie und Identifikation von Kandidaten für Biologika.</w:t>
      </w:r>
    </w:p>
    <w:p>
      <w:r>
        <w:rPr>
          <w:b/>
        </w:rPr>
        <w:t xml:space="preserve">Ergebnis: </w:t>
      </w:r>
      <w:r>
        <w:t>Von 1.111 Patienten hatten 286 (25,7%) ≥2 moderate oder ≥1 schwere Exazerbation/Jahr trotz Doppel- oder Tripeltherapie. Davon zeigten 51–75% hohe Symptombelastung (Dyspnoe, Husten, Sputum), nur 7,2% eosinophile COPD. Dupilumab in Italien für eosinophile exazerbierende COPD zugelassen.</w:t>
      </w:r>
    </w:p>
    <w:p>
      <w:r>
        <w:rPr>
          <w:b/>
          <w:sz w:val="19"/>
        </w:rPr>
        <w:t xml:space="preserve">Übertragbarkeit: </w:t>
      </w:r>
      <w:r>
        <w:rPr>
          <w:sz w:val="19"/>
        </w:rPr>
        <w:t>Italien, europäisches Sozialversicherungssystem, vergleichbare DMP-Struktur</w:t>
      </w:r>
    </w:p>
    <w:p>
      <w:r>
        <w:rPr>
          <w:color w:val="5A7D3A"/>
          <w:sz w:val="18"/>
        </w:rPr>
        <w:t>https://pubmed.ncbi.nlm.nih.gov/42831088/</w:t>
      </w:r>
    </w:p>
    <w:p>
      <w:pPr>
        <w:pStyle w:val="Heading2"/>
      </w:pPr>
      <w:r>
        <w:t>Schwere Fettleber assoziiert mit Fibrose bei chronischer Hepatitis B in Afrika</w:t>
      </w:r>
    </w:p>
    <w:p>
      <w:r>
        <w:rPr>
          <w:i/>
          <w:color w:val="666666"/>
          <w:sz w:val="18"/>
        </w:rPr>
        <w:t>Chabala FW et al.  ·  J Viral Hepat  ·  Nov. 2026  ·  PMID 42830592</w:t>
      </w:r>
    </w:p>
    <w:p>
      <w:r>
        <w:t>Multiländer-Studie (HEPSANET) mit 1.601 CHB-Patienten in sechs afrikanischen Ländern: Transiente Elastographie zeigte, dass schwere Steatose unabhängig mit erhöhtem Fibrose-Risiko verbunden war.</w:t>
      </w:r>
    </w:p>
    <w:p>
      <w:r>
        <w:rPr>
          <w:b/>
        </w:rPr>
        <w:t xml:space="preserve">Ergebnis: </w:t>
      </w:r>
      <w:r>
        <w:t>Schwere Steatose (CAP ≥280 dB/m) war mit 8,4% erhöhter Fibrose-Wahrscheinlichkeit assoziiert (95%-KI 1,9-14,9%). Milde und moderate Steatose zeigten diese Assoziation nicht. Prävalenz von Fettleber: 26,3%, davon 13,7% schwer.</w:t>
      </w:r>
    </w:p>
    <w:p>
      <w:r>
        <w:rPr>
          <w:b/>
          <w:sz w:val="19"/>
        </w:rPr>
        <w:t xml:space="preserve">Übertragbarkeit: </w:t>
      </w:r>
      <w:r>
        <w:rPr>
          <w:sz w:val="19"/>
        </w:rPr>
        <w:t>Afrika, andere Soziostruktur - Screening-Implikation übertragbar</w:t>
      </w:r>
    </w:p>
    <w:p>
      <w:r>
        <w:rPr>
          <w:color w:val="5A7D3A"/>
          <w:sz w:val="18"/>
        </w:rPr>
        <w:t>https://pubmed.ncbi.nlm.nih.gov/42830592/</w:t>
      </w:r>
    </w:p>
    <w:p>
      <w:pPr>
        <w:pStyle w:val="Heading2"/>
      </w:pPr>
      <w:r>
        <w:t>Bewegung reduzierte Mortalität und Leberversagen bei chronischer Hepatitis B um 11 Prozent</w:t>
      </w:r>
    </w:p>
    <w:p>
      <w:r>
        <w:rPr>
          <w:i/>
          <w:color w:val="666666"/>
          <w:sz w:val="18"/>
        </w:rPr>
        <w:t>Song BG et al.  ·  J Viral Hepat  ·  Nov. 2026  ·  PMID 42830566</w:t>
      </w:r>
    </w:p>
    <w:p>
      <w:r>
        <w:t>Südkoreanische Kohortenstudie mit 318.131 CHB-Patienten: Wer körperliche Aktivität aufnahm, hatte niedrigere Risiken für Tod und Komplikationen als körperlich Inaktive.</w:t>
      </w:r>
    </w:p>
    <w:p>
      <w:r>
        <w:rPr>
          <w:b/>
        </w:rPr>
        <w:t xml:space="preserve">Ergebnis: </w:t>
      </w:r>
      <w:r>
        <w:t>Hazard Ratio für Mortalität 0,89 (95%-KI 0,84-0,94) bei Aufnahme von Ausdaueraktivität; für Leberversagen subdistribution HR 0,94 (95%-KI 0,92-0,97) über 7,9 Jahre Nachfolge. Der Effekt war stärker in älteren, weiblichen und nicht-rauchenden Patienten.</w:t>
      </w:r>
    </w:p>
    <w:p>
      <w:r>
        <w:rPr>
          <w:b/>
          <w:sz w:val="19"/>
        </w:rPr>
        <w:t xml:space="preserve">Übertragbarkeit: </w:t>
      </w:r>
      <w:r>
        <w:rPr>
          <w:sz w:val="19"/>
        </w:rPr>
        <w:t>Südkorea - vergleichbares Gesundheitssystem, Versicherungsdaten hochwertig</w:t>
      </w:r>
    </w:p>
    <w:p>
      <w:r>
        <w:rPr>
          <w:color w:val="5A7D3A"/>
          <w:sz w:val="18"/>
        </w:rPr>
        <w:t>https://pubmed.ncbi.nlm.nih.gov/42830566/</w:t>
      </w:r>
    </w:p>
    <w:p>
      <w:pPr>
        <w:pStyle w:val="Heading2"/>
      </w:pPr>
      <w:r>
        <w:t>Chronische Erkrankungen bei Kindern: Register unterschätzen Prävalenz um mindestens 10 Prozent</w:t>
      </w:r>
    </w:p>
    <w:p>
      <w:r>
        <w:rPr>
          <w:i/>
          <w:color w:val="666666"/>
          <w:sz w:val="18"/>
        </w:rPr>
        <w:t>Andersen A et al.  ·  Eur J Pediatr  ·  03.10.2026  ·  PMID 42828548</w:t>
      </w:r>
    </w:p>
    <w:p>
      <w:r>
        <w:t>Dänische Studie: Verglich nationale Register mit Selbstberichten auf Prävalenz chronischer Erkrankungen bei Kindern und Jugendlichen; Registerbasierte Methode erfasst nur einen Teil.</w:t>
      </w:r>
    </w:p>
    <w:p>
      <w:r>
        <w:rPr>
          <w:b/>
        </w:rPr>
        <w:t xml:space="preserve">Ergebnis: </w:t>
      </w:r>
      <w:r>
        <w:t>Register zeigten Prävalenz 9,3–22,0% je nach Alter und Geschlecht; Selbstberichte 28,4–34,2%. 14,6–15,3% der Jugendlichen mit selbstberichteter chronischer Erkrankung waren im Alltag beeinträchtigt – im Register nicht sichtbar.</w:t>
      </w:r>
    </w:p>
    <w:p>
      <w:r>
        <w:rPr>
          <w:b/>
          <w:sz w:val="19"/>
        </w:rPr>
        <w:t xml:space="preserve">Übertragbarkeit: </w:t>
      </w:r>
      <w:r>
        <w:rPr>
          <w:sz w:val="19"/>
        </w:rPr>
        <w:t>Dänemark - skandinavisches System, enge Datenbankqualität wie in Deutschland, Methodenfrage universal</w:t>
      </w:r>
    </w:p>
    <w:p>
      <w:r>
        <w:rPr>
          <w:color w:val="5A7D3A"/>
          <w:sz w:val="18"/>
        </w:rPr>
        <w:t>https://pubmed.ncbi.nlm.nih.gov/42828548/</w:t>
      </w:r>
    </w:p>
    <w:p>
      <w:pPr>
        <w:pStyle w:val="Heading2"/>
      </w:pPr>
      <w:r>
        <w:t>Biologika spielen zentrale Rolle in schwerem Asthma, COPD-Klassifikation vereinfacht</w:t>
      </w:r>
    </w:p>
    <w:p>
      <w:r>
        <w:rPr>
          <w:i/>
          <w:color w:val="666666"/>
          <w:sz w:val="18"/>
        </w:rPr>
        <w:t>Salah Manoh JL et al.  ·  Rev Med Suisse  ·  23.09.2026  ·  PMID 42779315</w:t>
      </w:r>
    </w:p>
    <w:p>
      <w:r>
        <w:t>Schweizer Reviewartikel (nicht empirisch): Aktuelle GOLD- und globale Guidelines zur COPD und Asthma – Vereinfachung der COPD-Stratifizierung, erweiterte Rolle von Biologika, geänderte Exazerbationsdefinition.</w:t>
      </w:r>
    </w:p>
    <w:p>
      <w:r>
        <w:rPr>
          <w:b/>
        </w:rPr>
        <w:t xml:space="preserve">Ergebnis: </w:t>
      </w:r>
      <w:r>
        <w:t>COPD wird nun in nur 3 Gruppen eingeteilt (A, B, E); eine einzelne moderate Exazerbation reicht für Hochrisiko-Kategorie E. Asthma: Biologika zentral in schwerer Form, Salbutamol-Monotherapie nicht mehr empfohlen.</w:t>
      </w:r>
    </w:p>
    <w:p>
      <w:r>
        <w:rPr>
          <w:b/>
          <w:sz w:val="19"/>
        </w:rPr>
        <w:t xml:space="preserve">Übertragbarkeit: </w:t>
      </w:r>
      <w:r>
        <w:rPr>
          <w:sz w:val="19"/>
        </w:rPr>
        <w:t>Schweiz, vergleichbares Versicherungssystem, Leitlinien gelten auch in Deutschland</w:t>
      </w:r>
    </w:p>
    <w:p>
      <w:r>
        <w:rPr>
          <w:color w:val="5A7D3A"/>
          <w:sz w:val="18"/>
        </w:rPr>
        <w:t>https://pubmed.ncbi.nlm.nih.gov/42779315/</w:t>
      </w:r>
    </w:p>
    <w:p>
      <w:pPr>
        <w:pStyle w:val="Heading1"/>
      </w:pPr>
      <w:r>
        <w:t>Aufgenommen am 05.10.2026</w:t>
      </w:r>
    </w:p>
    <w:p>
      <w:pPr>
        <w:pStyle w:val="Heading2"/>
      </w:pPr>
      <w:r>
        <w:t>Glucose Disposal Rate assoziiert mit chronischer Nierenkrankheit bei älteren Diabetikern</w:t>
      </w:r>
    </w:p>
    <w:p>
      <w:r>
        <w:rPr>
          <w:i/>
          <w:color w:val="666666"/>
          <w:sz w:val="18"/>
        </w:rPr>
        <w:t>Chen X et al.  ·  Clin Interv Aging  ·  28.09.2026  ·  PMID 42829537</w:t>
      </w:r>
    </w:p>
    <w:p>
      <w:r>
        <w:t>Querschnittsstudie mit 713 älteren (≥60 J.) Typ-2-Diabetes-Patienten aus Zhejiang, China; CKD nach eGFR oder UACR definiert.</w:t>
      </w:r>
    </w:p>
    <w:p>
      <w:r>
        <w:rPr>
          <w:b/>
        </w:rPr>
        <w:t xml:space="preserve">Ergebnis: </w:t>
      </w:r>
      <w:r>
        <w:t>Pro 1-Unit eGDR-Anstieg: OR 0,78 (95%-KI 0,70–0,86) für CKD. Höchstes vs. niedrigstes Tertil: OR 0,31 (95%-KI 0,20–0,48). Linear inverse Beziehung (RCS p&gt;0,05). eGDR inversiv mit UACR (ρ=−0,277, p&lt;0,001), nicht mit eGFR. AUC 0,65 – Diskriminationsfähigkeit bescheiden; prospektive Studien nötig.</w:t>
      </w:r>
    </w:p>
    <w:p>
      <w:r>
        <w:rPr>
          <w:b/>
          <w:sz w:val="19"/>
        </w:rPr>
        <w:t xml:space="preserve">Übertragbarkeit: </w:t>
      </w:r>
      <w:r>
        <w:rPr>
          <w:sz w:val="19"/>
        </w:rPr>
        <w:t>China – Mechanismus für deutsches DMP-System bedingt übertragbar</w:t>
      </w:r>
    </w:p>
    <w:p>
      <w:r>
        <w:rPr>
          <w:color w:val="5A7D3A"/>
          <w:sz w:val="18"/>
        </w:rPr>
        <w:t>https://pubmed.ncbi.nlm.nih.gov/42829537/</w:t>
      </w:r>
    </w:p>
    <w:p>
      <w:pPr>
        <w:pStyle w:val="Heading2"/>
      </w:pPr>
      <w:r>
        <w:t>COPD erhöht Sturz- und Osteoporoserisiko deutlich</w:t>
      </w:r>
    </w:p>
    <w:p>
      <w:r>
        <w:rPr>
          <w:i/>
          <w:color w:val="666666"/>
          <w:sz w:val="18"/>
        </w:rPr>
        <w:t>Liu P et al.  ·  Int J Chron Obstruct Pulmon Dis  ·  28.09.2026  ·  PMID 42827947</w:t>
      </w:r>
    </w:p>
    <w:p>
      <w:r>
        <w:t>Kohortenstudie mit 474.669 UK-Biobank-Teilnehmern untersuchte die Assoziation von COPD mit Stürzen und Osteoporose über 12 Jahre.</w:t>
      </w:r>
    </w:p>
    <w:p>
      <w:r>
        <w:rPr>
          <w:b/>
        </w:rPr>
        <w:t xml:space="preserve">Ergebnis: </w:t>
      </w:r>
      <w:r>
        <w:t>COPD war assoziiert mit höherem Sturzrisiko (HR 1,51; 95%-KI 1,45–1,58) und Osteoporoserisiko (HR 2,37; 95%-KI 2,22–2,53). Rauchen modifizierte die Sturzassoziation (aktuelle Raucher HR 1,77 vs. Niemals-Raucher HR 1,37). Die Befunde zeigen bedeutsame Mehrfacherkrankungen bei COPD.</w:t>
      </w:r>
    </w:p>
    <w:p>
      <w:r>
        <w:rPr>
          <w:b/>
          <w:sz w:val="19"/>
        </w:rPr>
        <w:t xml:space="preserve">Übertragbarkeit: </w:t>
      </w:r>
      <w:r>
        <w:rPr>
          <w:sz w:val="19"/>
        </w:rPr>
        <w:t>UK-Biobank mit vergleichbar strukturiertem Gesundheitssystem</w:t>
      </w:r>
    </w:p>
    <w:p>
      <w:r>
        <w:rPr>
          <w:color w:val="5A7D3A"/>
          <w:sz w:val="18"/>
        </w:rPr>
        <w:t>https://pubmed.ncbi.nlm.nih.gov/42827947/</w:t>
      </w:r>
    </w:p>
    <w:p>
      <w:pPr>
        <w:pStyle w:val="Heading2"/>
      </w:pPr>
      <w:r>
        <w:t>SGLT2-Inhibitoren bei Diabetes mit chronischer Nierenkrankheit: Meta-Analyse</w:t>
      </w:r>
    </w:p>
    <w:p>
      <w:r>
        <w:rPr>
          <w:i/>
          <w:color w:val="666666"/>
          <w:sz w:val="18"/>
        </w:rPr>
        <w:t>Shi X et al.  ·  Medicine (Baltimore)  ·  02.10.2026  ·  PMID 42826278</w:t>
      </w:r>
    </w:p>
    <w:p>
      <w:r>
        <w:t>Systematische Übersicht und Meta-Analyse von 17 RCTs mit 29.192 Patienten mit Diabetes und CKD zur Wirksamkeit von SGLT2-Inhibitoren.</w:t>
      </w:r>
    </w:p>
    <w:p>
      <w:r>
        <w:rPr>
          <w:b/>
        </w:rPr>
        <w:t xml:space="preserve">Ergebnis: </w:t>
      </w:r>
      <w:r>
        <w:t>SGLT2-Inhibitoren reduzierten HbA1c (−0,40 %), Körpergewicht (−1,36 kg) und Blutdruck (−2,98 mmHg systolisch); eGFR und Albuminurie neutral kurzfristig (p&gt;0,05). Volumendepletion-Ereignisse erhöht (RR 1,36; 95%-KI 1,16–1,59). Kardiorenal-protektive Effekte langfristig dokumentiert, Monitoring essentiell.</w:t>
      </w:r>
    </w:p>
    <w:p>
      <w:r>
        <w:rPr>
          <w:b/>
          <w:sz w:val="19"/>
        </w:rPr>
        <w:t xml:space="preserve">Übertragbarkeit: </w:t>
      </w:r>
      <w:r>
        <w:rPr>
          <w:sz w:val="19"/>
        </w:rPr>
        <w:t>Europäische und deutsche Registerstudien zur SGLT2-Anwendung vorhanden</w:t>
      </w:r>
    </w:p>
    <w:p>
      <w:r>
        <w:rPr>
          <w:color w:val="5A7D3A"/>
          <w:sz w:val="18"/>
        </w:rPr>
        <w:t>https://pubmed.ncbi.nlm.nih.gov/42826278/</w:t>
      </w:r>
    </w:p>
    <w:p>
      <w:pPr>
        <w:pStyle w:val="Heading2"/>
      </w:pPr>
      <w:r>
        <w:t>SIRI-Index prognostiziert Mortalität bei COPD-Exazerbation</w:t>
      </w:r>
    </w:p>
    <w:p>
      <w:r>
        <w:rPr>
          <w:i/>
          <w:color w:val="666666"/>
          <w:sz w:val="18"/>
        </w:rPr>
        <w:t>Bai Y  ·  Medicine (Baltimore)  ·  02.10.2026  ·  PMID 42826271</w:t>
      </w:r>
    </w:p>
    <w:p>
      <w:r>
        <w:t>Retrospektive Kohortenanalyse aus MIMIC-III-Datenbank: 426 AECOPD-Patienten; 30-Tage-Mortalität 26,6 %.</w:t>
      </w:r>
    </w:p>
    <w:p>
      <w:r>
        <w:rPr>
          <w:b/>
        </w:rPr>
        <w:t xml:space="preserve">Ergebnis: </w:t>
      </w:r>
      <w:r>
        <w:t>SIRI (Systemische Inflammations-Response-Index) war unabhängiger Risikofaktor für 30-Tage-Mortalität (HR 1,743; 95%-KI 1,169–2,598; p=0,006). Optimaler Schwellwert 10,56 × 10⁹/L. AUC 0,612 besser als WBC/Neutrophile (0,584/0,557), ähnlich SOFA (0,619). SIRI könnte Triage und Prognose in der Akutversorgung lenken.</w:t>
      </w:r>
    </w:p>
    <w:p>
      <w:r>
        <w:rPr>
          <w:b/>
          <w:sz w:val="19"/>
        </w:rPr>
        <w:t xml:space="preserve">Übertragbarkeit: </w:t>
      </w:r>
      <w:r>
        <w:rPr>
          <w:sz w:val="19"/>
        </w:rPr>
        <w:t>Intensivmedizinische Datenbanken in Deutschland ähnlich verfügbar</w:t>
      </w:r>
    </w:p>
    <w:p>
      <w:r>
        <w:rPr>
          <w:color w:val="5A7D3A"/>
          <w:sz w:val="18"/>
        </w:rPr>
        <w:t>https://pubmed.ncbi.nlm.nih.gov/42826271/</w:t>
      </w:r>
    </w:p>
    <w:p>
      <w:pPr>
        <w:pStyle w:val="Heading2"/>
      </w:pPr>
      <w:r>
        <w:t>Nebulisiertes Furosemid plus Bronchodilatatoren senkt Symptome und Entzündung bei COPD-Exazerbation</w:t>
      </w:r>
    </w:p>
    <w:p>
      <w:r>
        <w:rPr>
          <w:i/>
          <w:color w:val="666666"/>
          <w:sz w:val="18"/>
        </w:rPr>
        <w:t>Behi M et al.  ·  Iran J Allergy Asthma Immunol  ·  12.08.2026  ·  PMID 42825900</w:t>
      </w:r>
    </w:p>
    <w:p>
      <w:r>
        <w:t>Randomisierte kontrollierte Studie mit 92 hospitalisierten COPD-Exazerbationspatienten verglich Salbutamol-Ipratropium allein versus mit Furosemid (20 mg).</w:t>
      </w:r>
    </w:p>
    <w:p>
      <w:r>
        <w:rPr>
          <w:b/>
        </w:rPr>
        <w:t xml:space="preserve">Ergebnis: </w:t>
      </w:r>
      <w:r>
        <w:t>Interventionsgruppe zeigte signifikante Verbesserungen: mMRC- und CAT-Scores abgesunken, FEV₁/FVC-Ratio erhöht, IL-6 und IL-8 abgesunken (p&lt;0,05), höhere PaO₂ und niedrigere PaCO₂. Keine Nebenwirkungen berichtet. Adjuvante Therapie verbesserte Lungenfunktion und reduzierte Systementzündung.</w:t>
      </w:r>
    </w:p>
    <w:p>
      <w:r>
        <w:rPr>
          <w:b/>
          <w:sz w:val="19"/>
        </w:rPr>
        <w:t xml:space="preserve">Übertragbarkeit: </w:t>
      </w:r>
      <w:r>
        <w:rPr>
          <w:sz w:val="19"/>
        </w:rPr>
        <w:t>Iran – Machbarkeit für strukturierte Inhalationstherapieprogramme prüfen</w:t>
      </w:r>
    </w:p>
    <w:p>
      <w:r>
        <w:rPr>
          <w:color w:val="5A7D3A"/>
          <w:sz w:val="18"/>
        </w:rPr>
        <w:t>https://pubmed.ncbi.nlm.nih.gov/42825900/</w:t>
      </w:r>
    </w:p>
    <w:p>
      <w:pPr>
        <w:pStyle w:val="Heading2"/>
      </w:pPr>
      <w:r>
        <w:t>Unreife Neutrophilen und erhöhte Myeloperoxidase bei CKD mit kardiovaskulären Komorbiditäten</w:t>
      </w:r>
    </w:p>
    <w:p>
      <w:r>
        <w:rPr>
          <w:i/>
          <w:color w:val="666666"/>
          <w:sz w:val="18"/>
        </w:rPr>
        <w:t>Vondenhoff S et al.  ·  Acta Physiol (Oxf)  ·  Sept. 2026  ·  PMID 42613304</w:t>
      </w:r>
    </w:p>
    <w:p>
      <w:r>
        <w:t>Vergleichende Flow-Cytometrie-Studie an zwei unabhängigen Kohorten männlicher CKD-Patienten (moderat bis fortgeschritten) versus gesunde Kontrollen.</w:t>
      </w:r>
    </w:p>
    <w:p>
      <w:r>
        <w:rPr>
          <w:b/>
        </w:rPr>
        <w:t xml:space="preserve">Ergebnis: </w:t>
      </w:r>
      <w:r>
        <w:t>CKD-Patienten zeigten reduzierte CD10-Expression auf Neutrophilen und erhöhte Plasma-Myeloperoxidase unabhängig von Entzündungsgrad oder NT-proBNP (p&lt;0,001). Unreife Neutrophilen-Phänotyp war kardiorenal-übergreifend konsistent, könnte zum erhöhten kardiovaskulären Risiko beitragen.</w:t>
      </w:r>
    </w:p>
    <w:p>
      <w:r>
        <w:rPr>
          <w:b/>
          <w:sz w:val="19"/>
        </w:rPr>
        <w:t xml:space="preserve">Übertragbarkeit: </w:t>
      </w:r>
      <w:r>
        <w:rPr>
          <w:sz w:val="19"/>
        </w:rPr>
        <w:t>Deutsche Krankenhaus-Daten zur Neutrophilen-Phenotypisierung verfügbar</w:t>
      </w:r>
    </w:p>
    <w:p>
      <w:r>
        <w:rPr>
          <w:color w:val="5A7D3A"/>
          <w:sz w:val="18"/>
        </w:rPr>
        <w:t>https://pubmed.ncbi.nlm.nih.gov/42613304/</w:t>
      </w:r>
    </w:p>
    <w:p>
      <w:pPr>
        <w:pStyle w:val="Heading1"/>
      </w:pPr>
      <w:r>
        <w:t>Aufgenommen am 04.10.2026</w:t>
      </w:r>
    </w:p>
    <w:p>
      <w:pPr>
        <w:pStyle w:val="Heading2"/>
      </w:pPr>
      <w:r>
        <w:t>Integriertes NCD-Screening in HIV- und COVID-Kliniken verbessert Früherkennung um 74 %</w:t>
      </w:r>
    </w:p>
    <w:p>
      <w:r>
        <w:rPr>
          <w:i/>
          <w:color w:val="666666"/>
          <w:sz w:val="18"/>
        </w:rPr>
        <w:t>Jithoo N et al.  ·  Front Public Health  ·  17.09.2026  ·  PMID 42824930</w:t>
      </w:r>
    </w:p>
    <w:p>
      <w:r>
        <w:t>Südafrika: Pilotprojekt zur Integration von Screening auf chronische Erkrankungen (Nierenerkrankung, Übergewicht, Dyslipidämie) in bestehende HIV- und COVID-19-Impfkliniken bei 461 Teilnehmern; Prävalenz neuer Diagnosen und Versorgungsgaps untersucht.</w:t>
      </w:r>
    </w:p>
    <w:p>
      <w:r>
        <w:rPr>
          <w:b/>
        </w:rPr>
        <w:t xml:space="preserve">Ergebnis: </w:t>
      </w:r>
      <w:r>
        <w:t>73,9 % der Teilnehmer erhielten neue NCD-Diagnosen: Nierenerkrankung (31,7 %), Adipositas (28,9 %), Dyslipidämie (25,8 %). Modifizierbare kardiovaskuläre Risikofaktoren waren weit verbreitet: Adipositas (63,9 %), Alkoholkonsum (50 %). Integriertes Screening erwies sich als machbar und bot Gelegenheit für frühe Intervention.</w:t>
      </w:r>
    </w:p>
    <w:p>
      <w:r>
        <w:rPr>
          <w:b/>
          <w:sz w:val="19"/>
        </w:rPr>
        <w:t xml:space="preserve">Übertragbarkeit: </w:t>
      </w:r>
      <w:r>
        <w:rPr>
          <w:sz w:val="19"/>
        </w:rPr>
        <w:t>Ressourcenbegrenzte Länder, ähnliche Gesundheitssystem-Herausforderungen wie LMIC</w:t>
      </w:r>
    </w:p>
    <w:p>
      <w:r>
        <w:rPr>
          <w:color w:val="5A7D3A"/>
          <w:sz w:val="18"/>
        </w:rPr>
        <w:t>https://pubmed.ncbi.nlm.nih.gov/42824930/</w:t>
      </w:r>
    </w:p>
    <w:p>
      <w:pPr>
        <w:pStyle w:val="Heading2"/>
      </w:pPr>
      <w:r>
        <w:t>Untergewicht vorhersagt Nierenerkrankung bei Typ-2-Diabetes besser als Adipositas</w:t>
      </w:r>
    </w:p>
    <w:p>
      <w:r>
        <w:rPr>
          <w:i/>
          <w:color w:val="666666"/>
          <w:sz w:val="18"/>
        </w:rPr>
        <w:t>Chung SM et al.  ·  Front Endocrinol (Lausanne)  ·  17.09.2026  ·  PMID 42823990</w:t>
      </w:r>
    </w:p>
    <w:p>
      <w:r>
        <w:t>Südkorea: Nationale Kohortenstudie (1.824.317 Erwachsene ≥40 Jahre mit Typ-2-Diabetes): Assoziation zwischen BMI, Taillenumfang und Inzidenz von Nierenerkrankung (definiert nach altersgerechten eGFR-Schwellwerten) über 4 Jahre Follow-up, stratifiziert nach Alter und Geschlecht.</w:t>
      </w:r>
    </w:p>
    <w:p>
      <w:r>
        <w:rPr>
          <w:b/>
        </w:rPr>
        <w:t xml:space="preserve">Ergebnis: </w:t>
      </w:r>
      <w:r>
        <w:t>CKD-Inzidenz: 2,8 % (Untergewicht), 2,3 % (keine Adipositas), 2,9 % (Übergewicht). Untergewicht mit höherem CKD-Risiko als Übergewicht assoziiert (OR 1,41 [95%-KI 1,29–1,54] vs. OR 1,03 [1,01–1,05]). Alters-/Geschlechts-stratifiziert: Untergewicht durchgängig erhöhtes Risiko, bes. mittelalte Männer; Übergewicht nur bei Frauen mit erhöhtem Risiko. Befund erklärt bisherige Inkonsistenzen in Adipositas-CKD-Assoziationen.</w:t>
      </w:r>
    </w:p>
    <w:p>
      <w:r>
        <w:rPr>
          <w:b/>
          <w:sz w:val="19"/>
        </w:rPr>
        <w:t xml:space="preserve">Übertragbarkeit: </w:t>
      </w:r>
      <w:r>
        <w:rPr>
          <w:sz w:val="19"/>
        </w:rPr>
        <w:t>Südkorea, großes Register; Adipositas-Paradoxon relevant für stratifizierte Prävention, aber regionales Modell unklar</w:t>
      </w:r>
    </w:p>
    <w:p>
      <w:r>
        <w:rPr>
          <w:color w:val="5A7D3A"/>
          <w:sz w:val="18"/>
        </w:rPr>
        <w:t>https://pubmed.ncbi.nlm.nih.gov/42823990/</w:t>
      </w:r>
    </w:p>
    <w:p>
      <w:pPr>
        <w:pStyle w:val="Heading2"/>
      </w:pPr>
      <w:r>
        <w:t>Klinische Phänotypisierung identifiziert Hochrisiko-COPD-Patienten mit raschem FEV1-Verlust</w:t>
      </w:r>
    </w:p>
    <w:p>
      <w:r>
        <w:rPr>
          <w:i/>
          <w:color w:val="666666"/>
          <w:sz w:val="18"/>
        </w:rPr>
        <w:t>Yang Z et al.  ·  Ann Med  ·  01.10.2026  ·  PMID 42817919</w:t>
      </w:r>
    </w:p>
    <w:p>
      <w:r>
        <w:t>Chinesische Kohortenstudie (38.863 COPD-Patienten, 1.215 mit Verlaufsparametern): Latent-Class-Analyse zur Identifikation klinischer Phänotypen; Machine Learning-Modell zur Vorhersage raschen Lungenfunktionsabbaus (FEV1-Abfall ≥40 mL/Jahr oder &gt;1,5% predicted).</w:t>
      </w:r>
    </w:p>
    <w:p>
      <w:r>
        <w:rPr>
          <w:b/>
        </w:rPr>
        <w:t xml:space="preserve">Ergebnis: </w:t>
      </w:r>
      <w:r>
        <w:t>Drei Phänotypen identifiziert: Phänotyp 1 (25,8 %, GOLD Stadium 2, nicht-rauchende Frauen), Phänotyp 2 (44,8 %, GOLD Stadium 1, rauchende Männer), Phänotyp 3 (29,4 %, GOLD Stadium 3, intensive Raucher). Phänotyp 2 zeigte höchste Verfall-Rate (55,8 %). Das CatBoost-Modell erreichte AUC 0,712; bei Schwellenwert 0,365: Sensitivität 95,5 %, negativer Vorhersagewert 86,4 %. Sechs einfache Prädiktoren: Region, Brennstofftyp, Einkommensstufe, Pfeifen, Hüftumfang, Basis-FEV1.</w:t>
      </w:r>
    </w:p>
    <w:p>
      <w:r>
        <w:rPr>
          <w:b/>
          <w:sz w:val="19"/>
        </w:rPr>
        <w:t xml:space="preserve">Übertragbarkeit: </w:t>
      </w:r>
      <w:r>
        <w:rPr>
          <w:sz w:val="19"/>
        </w:rPr>
        <w:t>China, großes Register; Phänotypisierung für Zielgruppendefinition relevant, Übertragbarkeit auf deutsche Phänotypen unklar</w:t>
      </w:r>
    </w:p>
    <w:p>
      <w:r>
        <w:rPr>
          <w:color w:val="5A7D3A"/>
          <w:sz w:val="18"/>
        </w:rPr>
        <w:t>https://pubmed.ncbi.nlm.nih.gov/42817919/</w:t>
      </w:r>
    </w:p>
    <w:p>
      <w:pPr>
        <w:pStyle w:val="Heading2"/>
      </w:pPr>
      <w:r>
        <w:t>Leitliniengerechte Antibiotika senken 30-Tage-Komplikationen bei COPD-Exazerbationen</w:t>
      </w:r>
    </w:p>
    <w:p>
      <w:r>
        <w:rPr>
          <w:i/>
          <w:color w:val="666666"/>
          <w:sz w:val="18"/>
        </w:rPr>
        <w:t>Perales-Muñoz R et al.  ·  Rev Esp Quimioter  ·  21.09.2026  ·  PMID 42768888</w:t>
      </w:r>
    </w:p>
    <w:p>
      <w:r>
        <w:t>Spanische Notaufnahme-Registerstudie an 4.136 COPD-Exazerbations-Episoden: Antibiotika-Auswahl nach nationalen Empfehlungen vs. Fehlauswahl und deren Assoziation mit Mortalität, Rehospitalisierung, Rezidiiv und Notfall-Revisiten.</w:t>
      </w:r>
    </w:p>
    <w:p>
      <w:r>
        <w:rPr>
          <w:b/>
        </w:rPr>
        <w:t xml:space="preserve">Ergebnis: </w:t>
      </w:r>
      <w:r>
        <w:t>Von 1.736 Patienten mit Entlassung aus der Notaufnahme erhielten 987 (56,9 %) Antibiotika; 158 (16,0 %) bekamen inadäquate Therapie. Inadäquate Behandlung korrelierte mit höherer 30-Tage-Morbidität (20,9 % vs. 13,3 %, p=0,019). In der multivariablen Analyse war leitliniengerechte Therapie der einzige modifizierbare Faktor mit signifikant reduziertem Ereignisrisiko (adjustierte RR 0,59; 95%-KI 0,41–0,85; p=0,004). Zugleich waren vorherige Exazerbationen (RR 1,80) und mittelschwere Exazerbationen (RR 1,52) mit höherem Risiko assoziiert.</w:t>
      </w:r>
    </w:p>
    <w:p>
      <w:r>
        <w:rPr>
          <w:b/>
          <w:sz w:val="19"/>
        </w:rPr>
        <w:t xml:space="preserve">Übertragbarkeit: </w:t>
      </w:r>
      <w:r>
        <w:rPr>
          <w:sz w:val="19"/>
        </w:rPr>
        <w:t>Spanische Notaufnahmedaten, vergleichbare Behandlungsprotokolle europäischer Systeme</w:t>
      </w:r>
    </w:p>
    <w:p>
      <w:r>
        <w:rPr>
          <w:color w:val="5A7D3A"/>
          <w:sz w:val="18"/>
        </w:rPr>
        <w:t>https://pubmed.ncbi.nlm.nih.gov/42768888/</w:t>
      </w:r>
    </w:p>
    <w:p>
      <w:pPr>
        <w:pStyle w:val="Heading2"/>
      </w:pPr>
      <w:r>
        <w:t>Dynamisches Risiko-Scoring vorhersagt CLL-Progression nach Limited-Duration-Therapie besser</w:t>
      </w:r>
    </w:p>
    <w:p>
      <w:r>
        <w:rPr>
          <w:i/>
          <w:color w:val="666666"/>
          <w:sz w:val="18"/>
        </w:rPr>
        <w:t>Al-Sawaf O et al.  ·  J Clin Oncol  ·  27.08.2026  ·  PMID 42659576</w:t>
      </w:r>
    </w:p>
    <w:p>
      <w:r>
        <w:t>Deutsche multizentrische Kohortenstudie zu chronisch-lymphatischer Leukämie: Entwicklung und Validierung eines verfeinerten kontinuierlichen Risikoindex (CIRI2-CLL) mit messbaren Resterkrankungen (MRD) zur Vorhersage von progressionsfreiem Überleben nach zeitlich begrenzter Targetted Therapy.</w:t>
      </w:r>
    </w:p>
    <w:p>
      <w:r>
        <w:rPr>
          <w:b/>
        </w:rPr>
        <w:t xml:space="preserve">Ergebnis: </w:t>
      </w:r>
      <w:r>
        <w:t>CIRI2-CLL zeigte gute Kalibrierung (ca. 5 % Unterschied zwischen beobachteter und vorhergesagter Progressionswahrscheinlichkeit). Überlegene Performance vs. einzelne Indizes (C-Statistiken 0,82–0,98 an allen Zeitpunkten), FEV-Vorhersage um 14–37 % verbessert. Risk-Stratifikation in drei Gruppen: 3-Jahres-PFS von 100,0 % (niedrig), 70,2 % (mittel), 10,8 % (hoch). Performance für Gesamtüberleben bestätigt.</w:t>
      </w:r>
    </w:p>
    <w:p>
      <w:r>
        <w:rPr>
          <w:b/>
          <w:sz w:val="19"/>
        </w:rPr>
        <w:t xml:space="preserve">Übertragbarkeit: </w:t>
      </w:r>
      <w:r>
        <w:rPr>
          <w:sz w:val="19"/>
        </w:rPr>
        <w:t>Deutschland/DACH, multizentrisch; CLL-spezifisch, aber Methode der MRD-Integration für andere Chroniker relevant</w:t>
      </w:r>
    </w:p>
    <w:p>
      <w:r>
        <w:rPr>
          <w:color w:val="5A7D3A"/>
          <w:sz w:val="18"/>
        </w:rPr>
        <w:t>https://pubmed.ncbi.nlm.nih.gov/42659576/</w:t>
      </w:r>
    </w:p>
    <w:p>
      <w:pPr>
        <w:pStyle w:val="Heading2"/>
      </w:pPr>
      <w:r>
        <w:t>HBsAg-Schnelltest-Positivierungszeit schätzt Viruslast und erleichtert POC-Diagnostik</w:t>
      </w:r>
    </w:p>
    <w:p>
      <w:r>
        <w:rPr>
          <w:i/>
          <w:color w:val="666666"/>
          <w:sz w:val="18"/>
        </w:rPr>
        <w:t>Asmamaw A et al.  ·  Aliment Pharmacol Ther  ·  06.08.2026  ·  PMID 42558028</w:t>
      </w:r>
    </w:p>
    <w:p>
      <w:r>
        <w:t>Multizentrische Proof-of-Concept-Studie (Spanien, Äthiopien): Prüfung, ob die Positivierungszeit eines Schnelltests für Hepatitis-B-Oberflächenantigen (HBsAg) ein Surrogat für quantitatives HBsAg und HBV-DNA-Aktivität ist; Paarvergleiche Kapillar- vs. Venöses Blut mit qHBsAg und PCR.</w:t>
      </w:r>
    </w:p>
    <w:p>
      <w:r>
        <w:rPr>
          <w:b/>
        </w:rPr>
        <w:t xml:space="preserve">Ergebnis: </w:t>
      </w:r>
      <w:r>
        <w:t>513 HBsAg-positive Personen analysiert. Positivierungszeit korrelierte invers mit qHBsAg (Spanien r=−0,749, Äthiopien r=−0,374; p&lt;0,001 beide). Keine Assoziation mit HBV-DNA. Diskriminationsfähigkeit für HBsAg &lt;1000 IU/mL: Spanien AUROC 0,86, Äthiopien AUROC 0,65; für &lt;100 IU/mL: AUROC 0,96 und 0,77. Gesunde und mit ausgeheilter Infektion: durchweg negativ.</w:t>
      </w:r>
    </w:p>
    <w:p>
      <w:r>
        <w:rPr>
          <w:b/>
          <w:sz w:val="19"/>
        </w:rPr>
        <w:t xml:space="preserve">Übertragbarkeit: </w:t>
      </w:r>
      <w:r>
        <w:rPr>
          <w:sz w:val="19"/>
        </w:rPr>
        <w:t>Spanien/Äthiopien; POC-Test für ressourcenlimitierte Länder, Relevanz für deutsche POC-Diagnostik begrenzt</w:t>
      </w:r>
    </w:p>
    <w:p>
      <w:r>
        <w:rPr>
          <w:color w:val="5A7D3A"/>
          <w:sz w:val="18"/>
        </w:rPr>
        <w:t>https://pubmed.ncbi.nlm.nih.gov/42558028/</w:t>
      </w:r>
    </w:p>
    <w:p>
      <w:pPr>
        <w:pStyle w:val="Heading1"/>
      </w:pPr>
      <w:r>
        <w:t>Aufgenommen am 03.10.2026</w:t>
      </w:r>
    </w:p>
    <w:p>
      <w:pPr>
        <w:pStyle w:val="Heading2"/>
      </w:pPr>
      <w:r>
        <w:t>Depression senkte das Risiko für Mehrfacherkrankung: Remission assoziiert mit niedrigerem Kardiometabolen-Risiko</w:t>
      </w:r>
    </w:p>
    <w:p>
      <w:r>
        <w:rPr>
          <w:i/>
          <w:color w:val="666666"/>
          <w:sz w:val="18"/>
        </w:rPr>
        <w:t>Yao M et al.  ·  J Glob Health  ·  02.10.2026  ·  PMID 42825401</w:t>
      </w:r>
    </w:p>
    <w:p>
      <w:r>
        <w:t>Prospektive Kohortenstudie mit 51.416 Teilnehmern aus China, USA und Europa untersuchte, ob langfristige depressive Belastung (gemessen durch Verlauf und kumulative Scores) mit neuaufgetretener Mehrfacherkrankung (Herz-Kreislauf und Diabetes) assoziiert ist.</w:t>
      </w:r>
    </w:p>
    <w:p>
      <w:r>
        <w:rPr>
          <w:b/>
        </w:rPr>
        <w:t xml:space="preserve">Ergebnis: </w:t>
      </w:r>
      <w:r>
        <w:t>Depressionsfortschritt erhöhte CMM-Risiko: China HR 1,47 (95%-CI 1,00–2,17), USA HR 1,33 (1,01–1,74), Europa HR 1,46 (1,26–1,69). Depressionsremission reduzierte Risiko: China HR 0,56 (0,36–0,87), Europa HR 0,76 (0,63–0,92). Frauen stärker betroffen in USA und Europa.</w:t>
      </w:r>
    </w:p>
    <w:p>
      <w:r>
        <w:rPr>
          <w:b/>
          <w:sz w:val="19"/>
        </w:rPr>
        <w:t xml:space="preserve">Übertragbarkeit: </w:t>
      </w:r>
      <w:r>
        <w:rPr>
          <w:sz w:val="19"/>
        </w:rPr>
        <w:t>Internationale Kohorte mit vergleichbarem Design; deutsches System ohne direkte Abbildung, aber Mehrfacherkrankungen-Prävention zentral für DMPs</w:t>
      </w:r>
    </w:p>
    <w:p>
      <w:r>
        <w:rPr>
          <w:color w:val="5A7D3A"/>
          <w:sz w:val="18"/>
        </w:rPr>
        <w:t>https://pubmed.ncbi.nlm.nih.gov/42825401/</w:t>
      </w:r>
    </w:p>
    <w:p>
      <w:pPr>
        <w:pStyle w:val="Heading2"/>
      </w:pPr>
      <w:r>
        <w:t>Peer-Support-Programme für chronische Nierenerkrankung: Systemische Unterstützung und Engagement zentral</w:t>
      </w:r>
    </w:p>
    <w:p>
      <w:r>
        <w:rPr>
          <w:i/>
          <w:color w:val="666666"/>
          <w:sz w:val="18"/>
        </w:rPr>
        <w:t>Faravan A et al.  ·  J Ren Care  ·  Dez. 2026  ·  PMID 42820648</w:t>
      </w:r>
    </w:p>
    <w:p>
      <w:r>
        <w:t>Qualitative Metasynthese von 15 Studien zu Facilitators von Peer-Support-Programmen für Patienten mit chronischer Nierenerkrankung.</w:t>
      </w:r>
    </w:p>
    <w:p>
      <w:r>
        <w:rPr>
          <w:b/>
        </w:rPr>
        <w:t xml:space="preserve">Ergebnis: </w:t>
      </w:r>
      <w:r>
        <w:t>Drei Hauptfacilitators identifiziert: (1) supportive Organisationskultur im Gesundheitssystem, (2) tiefe peer-Verbindungen und gutes rapport, (3) engagierte und motivierte Peer-Supporter und -Empfänger. Erfolgreiche Programme erfordern Interaktion zwischen organisationaler Unterstützung, sinnvoller Peer-Beziehung und aktiver Partizipation.</w:t>
      </w:r>
    </w:p>
    <w:p>
      <w:r>
        <w:rPr>
          <w:b/>
          <w:sz w:val="19"/>
        </w:rPr>
        <w:t xml:space="preserve">Übertragbarkeit: </w:t>
      </w:r>
      <w:r>
        <w:rPr>
          <w:sz w:val="19"/>
        </w:rPr>
        <w:t>Überwiegend europäische und englischsprachige Studien; Peer-Support-Ansätze in Deutschland (Selbsthilfe, DMP-Strukturen) unmittelbar anwendbar</w:t>
      </w:r>
    </w:p>
    <w:p>
      <w:r>
        <w:rPr>
          <w:color w:val="5A7D3A"/>
          <w:sz w:val="18"/>
        </w:rPr>
        <w:t>https://pubmed.ncbi.nlm.nih.gov/42820648/</w:t>
      </w:r>
    </w:p>
    <w:p>
      <w:pPr>
        <w:pStyle w:val="Heading2"/>
      </w:pPr>
      <w:r>
        <w:t>GLP-1-Rezeptor-Agonisten schützen die Niere bei chronischer Nierenerkrankung und Diabetes</w:t>
      </w:r>
    </w:p>
    <w:p>
      <w:r>
        <w:rPr>
          <w:i/>
          <w:color w:val="666666"/>
          <w:sz w:val="18"/>
        </w:rPr>
        <w:t>Boeckhaus J et al.  ·  Clin Sci (Lond)  ·  14.10.2026  ·  PMID 42820470</w:t>
      </w:r>
    </w:p>
    <w:p>
      <w:r>
        <w:t>Übersichtsarbeit zur Evidenz für Nephroprotektivität von GLP-1 Agonisten bei Patienten mit Typ-2-Diabetes und chronischer Nierenerkrankung jenseits von Glukosekontrolle.</w:t>
      </w:r>
    </w:p>
    <w:p>
      <w:r>
        <w:rPr>
          <w:b/>
        </w:rPr>
        <w:t xml:space="preserve">Ergebnis: </w:t>
      </w:r>
      <w:r>
        <w:t>GLP-1-RA reduzieren eGFR-Abfall, albuminurie und kardiovaskuläre Ereignisse durch anti-inflammatorische und anti-fibrotische Mechanismen. Effekte teilweise unabhängig von Gewichtsreduktion. Sicherheitsprofil vergleichbar mit Standard; potenzielle neue Indikation auch ohne Diabetes bei CKD.</w:t>
      </w:r>
    </w:p>
    <w:p>
      <w:r>
        <w:rPr>
          <w:b/>
          <w:sz w:val="19"/>
        </w:rPr>
        <w:t xml:space="preserve">Übertragbarkeit: </w:t>
      </w:r>
      <w:r>
        <w:rPr>
          <w:sz w:val="19"/>
        </w:rPr>
        <w:t>Wirkmechanismus-Review ohne Versorgungsdaten; Evidenz aus RCTs übertragbar auf deutsches System</w:t>
      </w:r>
    </w:p>
    <w:p>
      <w:r>
        <w:rPr>
          <w:color w:val="5A7D3A"/>
          <w:sz w:val="18"/>
        </w:rPr>
        <w:t>https://pubmed.ncbi.nlm.nih.gov/42820470/</w:t>
      </w:r>
    </w:p>
    <w:p>
      <w:pPr>
        <w:pStyle w:val="Heading2"/>
      </w:pPr>
      <w:r>
        <w:t>Actualisiertes WHO-Modul für Mundgesundheit in Überwachungssystemen für nicht übertragbare Erkrankungen</w:t>
      </w:r>
    </w:p>
    <w:p>
      <w:r>
        <w:rPr>
          <w:i/>
          <w:color w:val="666666"/>
          <w:sz w:val="18"/>
        </w:rPr>
        <w:t>Rendell N et al.  ·  Bull World Health Organ  ·  01.10.2026  ·  PMID 42820175</w:t>
      </w:r>
    </w:p>
    <w:p>
      <w:r>
        <w:t>WHO präsentiert überarbeitetes Modul für STEPS-Surveillance (Überwachung von Risikofaktoren) mit klinischer Untersuchungskomponente für Mundgesundheit, die von geschultem Nicht-Zahnarzt-Personal durchführbar ist.</w:t>
      </w:r>
    </w:p>
    <w:p>
      <w:r>
        <w:rPr>
          <w:b/>
        </w:rPr>
        <w:t xml:space="preserve">Ergebnis: </w:t>
      </w:r>
      <w:r>
        <w:t>Neues Modul integriert aktualisierte Selbstangaben und klinische Bewertung statt nur Wahrnehmungsangaben. Praktisch und skalierbar für Länder ohne zahnärztliche Kapazität, unterstützt Integration von Mundgesundheit in Strategien zur universellen Gesundheitsversorgung.</w:t>
      </w:r>
    </w:p>
    <w:p>
      <w:r>
        <w:rPr>
          <w:b/>
          <w:sz w:val="19"/>
        </w:rPr>
        <w:t xml:space="preserve">Übertragbarkeit: </w:t>
      </w:r>
      <w:r>
        <w:rPr>
          <w:sz w:val="19"/>
        </w:rPr>
        <w:t>WHO-Standard für alle Länder; direkt auf deutsches RKI-Surveillance-System übertragbar</w:t>
      </w:r>
    </w:p>
    <w:p>
      <w:r>
        <w:rPr>
          <w:color w:val="5A7D3A"/>
          <w:sz w:val="18"/>
        </w:rPr>
        <w:t>https://pubmed.ncbi.nlm.nih.gov/42820175/</w:t>
      </w:r>
    </w:p>
    <w:p>
      <w:pPr>
        <w:pStyle w:val="Heading2"/>
      </w:pPr>
      <w:r>
        <w:t>Krankenhausinfektionen bei Kindern mit Sepsis zeigten höhere Sterblichkeit als ambulant erworbene Infektionen</w:t>
      </w:r>
    </w:p>
    <w:p>
      <w:r>
        <w:rPr>
          <w:i/>
          <w:color w:val="666666"/>
          <w:sz w:val="18"/>
        </w:rPr>
        <w:t>Ravichandran N et al.  ·  Eur J Pediatr  ·  19.09.2026  ·  PMID 42763313</w:t>
      </w:r>
    </w:p>
    <w:p>
      <w:r>
        <w:t>Retrospektive nationale Kohortenstudie zur Epidemiologie pädiatrischer Sepsis in Irland 2020–2025 mit Analyse von Krankheitsverlauf, Multimorbidität und Outcomes.</w:t>
      </w:r>
    </w:p>
    <w:p>
      <w:r>
        <w:rPr>
          <w:b/>
        </w:rPr>
        <w:t xml:space="preserve">Ergebnis: </w:t>
      </w:r>
      <w:r>
        <w:t>4.442 Sepsis-Aufnahmen: 30,7% nosokomial, 69,3% ambulant. Nosokomiale Sepsis: 84,0% Intensivaufnahmen vs. 32,3%, Sterblichkeit 7,6% vs. 1,8% (p&lt;0,001). Komorbidität assoziiert mit kritischem Verlauf (aOR neonatal 2,66; nicht-neonatal 4,88), aber schwere Verläufe auch ohne dokumentierte Komorbiditäten.</w:t>
      </w:r>
    </w:p>
    <w:p>
      <w:r>
        <w:rPr>
          <w:b/>
          <w:sz w:val="19"/>
        </w:rPr>
        <w:t xml:space="preserve">Übertragbarkeit: </w:t>
      </w:r>
      <w:r>
        <w:rPr>
          <w:sz w:val="19"/>
        </w:rPr>
        <w:t>Europäische Klinikdaten; vergleichbar mit deutschem Krankenhausmanagementsystem für Infektionsprävention</w:t>
      </w:r>
    </w:p>
    <w:p>
      <w:r>
        <w:rPr>
          <w:color w:val="5A7D3A"/>
          <w:sz w:val="18"/>
        </w:rPr>
        <w:t>https://pubmed.ncbi.nlm.nih.gov/42763313/</w:t>
      </w:r>
    </w:p>
    <w:p>
      <w:pPr>
        <w:pStyle w:val="Heading2"/>
      </w:pPr>
      <w:r>
        <w:t>Sterblichkeitsüberwachung mit multiplen Todesursachen zur Verfolgung chronischer Erkrankungen in der COVID-19-Ära</w:t>
      </w:r>
    </w:p>
    <w:p>
      <w:r>
        <w:rPr>
          <w:i/>
          <w:color w:val="666666"/>
          <w:sz w:val="18"/>
        </w:rPr>
        <w:t>Jones J  ·  Ann Epidemiol  ·  15.09.2026  ·  PMID 42744417</w:t>
      </w:r>
    </w:p>
    <w:p>
      <w:r>
        <w:t>Educational Module zu Mortalitäts-Surveillance-Methoden, das sich auf einen bereits publizierten Artikel zur Nutzung von Mehrfach-Todesursachen-Daten konzentriert (Referenz: Durán et al., Ann Epidemiol 2026;113:23-29).</w:t>
      </w:r>
    </w:p>
    <w:p>
      <w:r>
        <w:rPr>
          <w:b/>
        </w:rPr>
        <w:t xml:space="preserve">Ergebnis: </w:t>
      </w:r>
      <w:r>
        <w:t>Modul demonstriert Nutzen von Mehrfach-Todesursachen-Kodierung zur Erfassung von Trends chronischer Erkrankungen; Fallbeispiel Schweiz COVID-19-Pandemie zeigt, wie Überwachungsmethoden Versorgungsmuster offenbaren.</w:t>
      </w:r>
    </w:p>
    <w:p>
      <w:r>
        <w:rPr>
          <w:b/>
          <w:sz w:val="19"/>
        </w:rPr>
        <w:t xml:space="preserve">Übertragbarkeit: </w:t>
      </w:r>
      <w:r>
        <w:rPr>
          <w:sz w:val="19"/>
        </w:rPr>
        <w:t>Schweiz mit ähnlichem System wie Deutschland; Mortalitäts-Surveillance-Design direkt auf deutsches Todesbescheinigungssystem übertragbar</w:t>
      </w:r>
    </w:p>
    <w:p>
      <w:r>
        <w:rPr>
          <w:color w:val="5A7D3A"/>
          <w:sz w:val="18"/>
        </w:rPr>
        <w:t>https://pubmed.ncbi.nlm.nih.gov/42744417/</w:t>
      </w:r>
    </w:p>
    <w:p>
      <w:pPr>
        <w:pStyle w:val="Heading2"/>
      </w:pPr>
      <w:r>
        <w:t>COPD ist zu heterogen für Single-Trial-Zulassungen: Mehrfach-Studien-Evidenz erforderlich</w:t>
      </w:r>
    </w:p>
    <w:p>
      <w:r>
        <w:rPr>
          <w:i/>
          <w:color w:val="666666"/>
          <w:sz w:val="18"/>
        </w:rPr>
        <w:t>Cazzola M et al.  ·  Lung  ·  31.07.2026  ·  PMID 42536190</w:t>
      </w:r>
    </w:p>
    <w:p>
      <w:r>
        <w:t>Expertenpapier zur FDA-Proposal, einzelne RCTs als Standard für COPD-Medikamentenzulassung zu akzeptieren; erörtert Heterogenität, Effektgrößen und Generalisierbarkeit.</w:t>
      </w:r>
    </w:p>
    <w:p>
      <w:r>
        <w:rPr>
          <w:b/>
        </w:rPr>
        <w:t xml:space="preserve">Ergebnis: </w:t>
      </w:r>
      <w:r>
        <w:t>COPD zeigt variable Trajektorien, modest treatment effects, limitierte validierte Biomarker. Single RCTs risikieren Type-I-Fehler und begrenzte Übertragbarkeit durch restriktive Einschlusskriterien. Empfehlung: mindestens zwei unabhängige Studien bei CKD oder äquivalente Post-Marketing-Validierung erforderlich.</w:t>
      </w:r>
    </w:p>
    <w:p>
      <w:r>
        <w:rPr>
          <w:b/>
          <w:sz w:val="19"/>
        </w:rPr>
        <w:t xml:space="preserve">Übertragbarkeit: </w:t>
      </w:r>
      <w:r>
        <w:rPr>
          <w:sz w:val="19"/>
        </w:rPr>
        <w:t>COPD-Versorgung international vergleichbar; Argument für robuste Evidenzstandards in allen Gesundheitssystemen relevant</w:t>
      </w:r>
    </w:p>
    <w:p>
      <w:r>
        <w:rPr>
          <w:color w:val="5A7D3A"/>
          <w:sz w:val="18"/>
        </w:rPr>
        <w:t>https://pubmed.ncbi.nlm.nih.gov/42536190/</w:t>
      </w:r>
    </w:p>
    <w:p>
      <w:pPr>
        <w:pStyle w:val="Heading1"/>
      </w:pPr>
      <w:r>
        <w:t>Aufgenommen am 02.10.2026</w:t>
      </w:r>
    </w:p>
    <w:p>
      <w:pPr>
        <w:pStyle w:val="Heading2"/>
      </w:pPr>
      <w:r>
        <w:t>Peritoneal-Dialyse-Peritonitis: Nomogramm zur Vorhersage von Peritonitifreiheit</w:t>
      </w:r>
    </w:p>
    <w:p>
      <w:r>
        <w:rPr>
          <w:i/>
          <w:color w:val="666666"/>
          <w:sz w:val="18"/>
        </w:rPr>
        <w:t>Tian Z et al.  ·  Ren Fail  ·  01.10.2026  ·  PMID 42823121</w:t>
      </w:r>
    </w:p>
    <w:p>
      <w:r>
        <w:t>Retrospektive Kohortenstudie entwickelte und validierte ein Cox-Nomogramm zur Vorhersage der Peritonitis-freien Überlebenszeit bei peritonealer Dialyse (372 Patienten, 26,3 Monate Nachverfolgung).</w:t>
      </w:r>
    </w:p>
    <w:p>
      <w:r>
        <w:rPr>
          <w:b/>
        </w:rPr>
        <w:t xml:space="preserve">Ergebnis: </w:t>
      </w:r>
      <w:r>
        <w:t>Über Median 26,3 Monate: 35,4% Peritonitis-Ereignisse (Training), 30,4% (Validierung). Neun unabhängige Prädiktoren identifiziert (u.a. Bildung, BMI, Albumin, Kalzium, Phosphor). C-Index 0,707; ROC-AUC bei 6/12/24 Monaten: 75,8%/77,5%/69,7% (Training) bzw. 77,7%/63,8%/58,4% (Validierung). Modell zeigt moderate Diskrimination und befriedigende Kalibration.</w:t>
      </w:r>
    </w:p>
    <w:p>
      <w:r>
        <w:rPr>
          <w:b/>
          <w:sz w:val="19"/>
        </w:rPr>
        <w:t xml:space="preserve">Übertragbarkeit: </w:t>
      </w:r>
      <w:r>
        <w:rPr>
          <w:sz w:val="19"/>
        </w:rPr>
        <w:t>China, klinisch routinemäßig erhobene Parameter, externe Validierung vor Routineeinsatz erforderlich.</w:t>
      </w:r>
    </w:p>
    <w:p>
      <w:r>
        <w:rPr>
          <w:color w:val="5A7D3A"/>
          <w:sz w:val="18"/>
        </w:rPr>
        <w:t>https://pubmed.ncbi.nlm.nih.gov/42823121/</w:t>
      </w:r>
    </w:p>
    <w:p>
      <w:pPr>
        <w:pStyle w:val="Heading2"/>
      </w:pPr>
      <w:r>
        <w:t>Bewegungsmangel verursacht 2% der Krankheitslast in der Schweiz</w:t>
      </w:r>
    </w:p>
    <w:p>
      <w:r>
        <w:rPr>
          <w:i/>
          <w:color w:val="666666"/>
          <w:sz w:val="18"/>
        </w:rPr>
        <w:t>Güntert L et al.  ·  Swiss Med Wkly  ·  24.09.2026  ·  PMID 42821881</w:t>
      </w:r>
    </w:p>
    <w:p>
      <w:r>
        <w:t>Bevölkerungsgestützte Modellierungsstudie quantifizierte die durch körperliche Inaktivität verursachte Krankheitslast (YLD und YLL) in der Schweiz 2022 nach Sprachregionen.</w:t>
      </w:r>
    </w:p>
    <w:p>
      <w:r>
        <w:rPr>
          <w:b/>
        </w:rPr>
        <w:t xml:space="preserve">Ergebnis: </w:t>
      </w:r>
      <w:r>
        <w:t>Physische Inaktivität führte zu 227,08 YLD und 424,23 YLL pro 100.000 Personen &gt;20 Jahren (2% der DALYs insgesamt). Italienisch- und französischsprachige Regionen zeigten erheblich höhere Raten als deutschsprachige Regionen. Depression (93,38 YLD) und Herzkoronarerkrankung (132,12 YLL) waren Hauptkontributoren; Frauen waren stärker belastet als Männer.</w:t>
      </w:r>
    </w:p>
    <w:p>
      <w:r>
        <w:rPr>
          <w:b/>
          <w:sz w:val="19"/>
        </w:rPr>
        <w:t xml:space="preserve">Übertragbarkeit: </w:t>
      </w:r>
      <w:r>
        <w:rPr>
          <w:sz w:val="19"/>
        </w:rPr>
        <w:t>Schweizer Bevölkerungsdaten, ähnliche Struktur und Prävention wie im deutschsprachigen Raum.</w:t>
      </w:r>
    </w:p>
    <w:p>
      <w:r>
        <w:rPr>
          <w:color w:val="5A7D3A"/>
          <w:sz w:val="18"/>
        </w:rPr>
        <w:t>https://pubmed.ncbi.nlm.nih.gov/42821881/</w:t>
      </w:r>
    </w:p>
    <w:p>
      <w:pPr>
        <w:pStyle w:val="Heading2"/>
      </w:pPr>
      <w:r>
        <w:t>Antidiabetika und COPD-Exazerbationen: Netzwerk-Metaanalyse bei Typ-2-Diabetes</w:t>
      </w:r>
    </w:p>
    <w:p>
      <w:r>
        <w:rPr>
          <w:i/>
          <w:color w:val="666666"/>
          <w:sz w:val="18"/>
        </w:rPr>
        <w:t>Shabil M et al.  ·  Diab Vasc Dis Res  ·  01.10.2026  ·  PMID 42821775</w:t>
      </w:r>
    </w:p>
    <w:p>
      <w:r>
        <w:t>Systematische Übersicht mit Netzwerk-Metaanalyse evaluierte Effekte verschiedener Antidiabetika auf COPD-Exazerbationen bei Patienten mit T2DM (13 Beobachtungsstudien, 755.206 Teilnehmer).</w:t>
      </w:r>
    </w:p>
    <w:p>
      <w:r>
        <w:rPr>
          <w:b/>
        </w:rPr>
        <w:t xml:space="preserve">Ergebnis: </w:t>
      </w:r>
      <w:r>
        <w:t>Im Vergleich zu Sulfonylharnstoffen: SGLT-2-Inhibitoren zeigten tiefste COPD-Exazerbationsrate (RR 0,71; 95% CI 0,66–0,77), gefolgt von GLP-1-Agonisten (RR 0,77; 95% CI 0,71–0,84). Metformin neutral (RR 0,89), DPP-4-Inhibitoren (RR 1,05) und Meglitinide ohne klaren Nutzen. Ähnliche Befunde für schwere Exazerbationen.</w:t>
      </w:r>
    </w:p>
    <w:p>
      <w:r>
        <w:rPr>
          <w:b/>
          <w:sz w:val="19"/>
        </w:rPr>
        <w:t xml:space="preserve">Übertragbarkeit: </w:t>
      </w:r>
      <w:r>
        <w:rPr>
          <w:sz w:val="19"/>
        </w:rPr>
        <w:t>Internationale Beobachtungsdaten, Effektstärken unabhängig von Versorgungssystem.</w:t>
      </w:r>
    </w:p>
    <w:p>
      <w:r>
        <w:rPr>
          <w:color w:val="5A7D3A"/>
          <w:sz w:val="18"/>
        </w:rPr>
        <w:t>https://pubmed.ncbi.nlm.nih.gov/42821775/</w:t>
      </w:r>
    </w:p>
    <w:p>
      <w:pPr>
        <w:pStyle w:val="Heading2"/>
      </w:pPr>
      <w:r>
        <w:t>Rauchentwöhnung bei COPD: Klinik-Zuweisung verbesserte Abstinenzquote deutlich</w:t>
      </w:r>
    </w:p>
    <w:p>
      <w:r>
        <w:rPr>
          <w:i/>
          <w:color w:val="666666"/>
          <w:sz w:val="18"/>
        </w:rPr>
        <w:t>Marım F et al.  ·  Int J Chron Obstruct Pulmon Dis  ·  26.09.2026  ·  PMID 42820089</w:t>
      </w:r>
    </w:p>
    <w:p>
      <w:r>
        <w:t>Subgruppenanalyse einer multizentrischen RCT untersuchte Faktoren, die mit 1-Jahres-Rauchentwöhnung bei COPD-Patienten assoziiert sind (Vergleich: sofortige Klinik-Zuweisung vs. Standard-Versorgung).</w:t>
      </w:r>
    </w:p>
    <w:p>
      <w:r>
        <w:rPr>
          <w:b/>
        </w:rPr>
        <w:t xml:space="preserve">Ergebnis: </w:t>
      </w:r>
      <w:r>
        <w:t>Von 172 Patienten quit 32 (18,6%): 24 von 93 (25,8%) mit sofortiger Zuweisung vs. 8 von 79 (10,1%) mit Standardversorgung (p=0,010). Im multivariablen Modell: Standardversorgung senkte Erfolgschancen (OR 0,25; 95% CI 0,09–0,64); Fehlen von Komorbiditäten (OR 2,64) und &gt;1 exazerbationsbedingte Hospitalisierung (OR 9,32) erhöhten sie. Strukturierte Versorgungspfade sind zentral.</w:t>
      </w:r>
    </w:p>
    <w:p>
      <w:r>
        <w:rPr>
          <w:b/>
          <w:sz w:val="19"/>
        </w:rPr>
        <w:t xml:space="preserve">Übertragbarkeit: </w:t>
      </w:r>
      <w:r>
        <w:rPr>
          <w:sz w:val="19"/>
        </w:rPr>
        <w:t>Türkische Multizenterstudie, aber Versorgungsprinzipien (Koordination, Strukturierung) auf Deutschland übertragbar.</w:t>
      </w:r>
    </w:p>
    <w:p>
      <w:r>
        <w:rPr>
          <w:color w:val="5A7D3A"/>
          <w:sz w:val="18"/>
        </w:rPr>
        <w:t>https://pubmed.ncbi.nlm.nih.gov/42820089/</w:t>
      </w:r>
    </w:p>
    <w:p>
      <w:pPr>
        <w:pStyle w:val="Heading2"/>
      </w:pPr>
      <w:r>
        <w:t>Gicht-Akutbehandlung bei Nierenkrankheit: Anakinra versus Steroide</w:t>
      </w:r>
    </w:p>
    <w:p>
      <w:r>
        <w:rPr>
          <w:i/>
          <w:color w:val="666666"/>
          <w:sz w:val="18"/>
        </w:rPr>
        <w:t>Balasubramaniam G et al.  ·  BMJ Open  ·  30.09.2026  ·  PMID 42816092</w:t>
      </w:r>
    </w:p>
    <w:p>
      <w:r>
        <w:t>Feasibility-Studie testete Durchführbarkeit einer doppelblinden RCT von Anakinra versus Methylprednisolon bei Gicht-Anfällen in chronischer Nierenkrankheit (eGFR &lt;60).</w:t>
      </w:r>
    </w:p>
    <w:p>
      <w:r>
        <w:rPr>
          <w:b/>
        </w:rPr>
        <w:t xml:space="preserve">Ergebnis: </w:t>
      </w:r>
      <w:r>
        <w:t>21 Patienten randomisiert, 17 behandelt. Schmerzreduktion nach 7 Tagen: 46,8 von 100 auf visueller Analogskala. Anakinra zeigte Trend zu schnellerem Schmerzrückgang. Machbarkeit demonstriert; Unter-Rekrutierung war Hauptproblem. Empfehlung für optimierte Fall-Findung in der Gemeinschaft vor definitivem Trial.</w:t>
      </w:r>
    </w:p>
    <w:p>
      <w:r>
        <w:rPr>
          <w:b/>
          <w:sz w:val="19"/>
        </w:rPr>
        <w:t xml:space="preserve">Übertragbarkeit: </w:t>
      </w:r>
      <w:r>
        <w:rPr>
          <w:sz w:val="19"/>
        </w:rPr>
        <w:t>UK-Sekundärversorger, transferierbar auf multimorbide ältere Patienten in Deutschland.</w:t>
      </w:r>
    </w:p>
    <w:p>
      <w:r>
        <w:rPr>
          <w:color w:val="5A7D3A"/>
          <w:sz w:val="18"/>
        </w:rPr>
        <w:t>https://pubmed.ncbi.nlm.nih.gov/42816092/</w:t>
      </w:r>
    </w:p>
    <w:p>
      <w:pPr>
        <w:pStyle w:val="Heading2"/>
      </w:pPr>
      <w:r>
        <w:t>Sarcopenie bei Mehrfacherkrankungen: europäische Leitlinie mit praktischen Empfehlungen</w:t>
      </w:r>
    </w:p>
    <w:p>
      <w:r>
        <w:rPr>
          <w:i/>
          <w:color w:val="666666"/>
          <w:sz w:val="18"/>
        </w:rPr>
        <w:t>Bernabeu-Wittel M et al.  ·  Eur J Intern Med  ·  13.08.2026  ·  PMID 42595648</w:t>
      </w:r>
    </w:p>
    <w:p>
      <w:r>
        <w:t>EFIM-adaptierte Leitlinie für Identifikation und Management von Sarcopenie bei Patienten mit Mehrfacherkrankungen, basierend auf kritischer Bewertung bestehender Guidelines.</w:t>
      </w:r>
    </w:p>
    <w:p>
      <w:r>
        <w:rPr>
          <w:b/>
        </w:rPr>
        <w:t xml:space="preserve">Ergebnis: </w:t>
      </w:r>
      <w:r>
        <w:t>37 Empfehlungen (30 strong, 7 weak): Proaktives Screening ab 65 Jahren und bei jüngeren mit Risikofaktoren; Handgriffkraft als Eintrittspunkt; flexible diagnostische Wege; individualisierte multimodale Interventionen. 8 auf hoher, 12 auf moderater, 17 auf niedriger Evidenz oder Konsens. Adressiert iatrogene Risiken (Corticosteroide, GLP-1-Agonisten).</w:t>
      </w:r>
    </w:p>
    <w:p>
      <w:r>
        <w:rPr>
          <w:b/>
          <w:sz w:val="19"/>
        </w:rPr>
        <w:t xml:space="preserve">Übertragbarkeit: </w:t>
      </w:r>
      <w:r>
        <w:rPr>
          <w:sz w:val="19"/>
        </w:rPr>
        <w:t>Europäische Innere Medizin, direkt auf deutsches Versorgungssystem übertragbar.</w:t>
      </w:r>
    </w:p>
    <w:p>
      <w:r>
        <w:rPr>
          <w:color w:val="5A7D3A"/>
          <w:sz w:val="18"/>
        </w:rPr>
        <w:t>https://pubmed.ncbi.nlm.nih.gov/42595648/</w:t>
      </w:r>
    </w:p>
    <w:p>
      <w:pPr>
        <w:pStyle w:val="Heading1"/>
      </w:pPr>
      <w:r>
        <w:t>Aufgenommen am 01.10.2026</w:t>
      </w:r>
    </w:p>
    <w:p>
      <w:pPr>
        <w:pStyle w:val="Heading2"/>
      </w:pPr>
      <w:r>
        <w:t>Psychosomatic Belastung bei Jugendlichen mit chronischen Erkrankungen im Übergang zur Erwachsenenmedizin</w:t>
      </w:r>
    </w:p>
    <w:p>
      <w:r>
        <w:rPr>
          <w:i/>
          <w:color w:val="666666"/>
          <w:sz w:val="18"/>
        </w:rPr>
        <w:t>Choukair D et al.  ·  PLoS One  ·  30.09.2026  ·  PMID 42814714</w:t>
      </w:r>
    </w:p>
    <w:p>
      <w:r>
        <w:t>Querschnittsstudie an 92 Jugendlichen mit chronischen Erkrankungen zur Erfassung psychosozialer Belastung, Familienstruktur und Unterstützungsbedarf beim Transition-Prozess mit validierten Fragebögen.</w:t>
      </w:r>
    </w:p>
    <w:p>
      <w:r>
        <w:rPr>
          <w:b/>
        </w:rPr>
        <w:t xml:space="preserve">Ergebnis: </w:t>
      </w:r>
      <w:r>
        <w:t>39,6% moderate somatische Beschwerden, 20,6% depressive Symptome, 11,9% Angststörungssymptome; reduzierte Familienstruktur korrelierte signifikant mit höherer psychosomatischer Symptombelastung (p&lt;0,05). Psychosoziale Belastung sollte systematisch in Transition-Programme integriert werden.</w:t>
      </w:r>
    </w:p>
    <w:p>
      <w:r>
        <w:rPr>
          <w:b/>
          <w:sz w:val="19"/>
        </w:rPr>
        <w:t xml:space="preserve">Übertragbarkeit: </w:t>
      </w:r>
      <w:r>
        <w:rPr>
          <w:sz w:val="19"/>
        </w:rPr>
        <w:t>Deutschland, vergleichbare Strukturen der Kindermedizin und Transitionsmedizin.</w:t>
      </w:r>
    </w:p>
    <w:p>
      <w:r>
        <w:rPr>
          <w:color w:val="5A7D3A"/>
          <w:sz w:val="18"/>
        </w:rPr>
        <w:t>https://pubmed.ncbi.nlm.nih.gov/42814714/</w:t>
      </w:r>
    </w:p>
    <w:p>
      <w:pPr>
        <w:pStyle w:val="Heading2"/>
      </w:pPr>
      <w:r>
        <w:t>Kostenwirksamkeit eines dezentralen Versorgungsmodells für Hepatitis B in remote Gemeinden</w:t>
      </w:r>
    </w:p>
    <w:p>
      <w:r>
        <w:rPr>
          <w:i/>
          <w:color w:val="666666"/>
          <w:sz w:val="18"/>
        </w:rPr>
        <w:t>Nguyen H et al.  ·  Med J Aust  ·  Okt. 2026  ·  PMID 42811936</w:t>
      </w:r>
    </w:p>
    <w:p>
      <w:r>
        <w:t>Retrospektive Kohortenstudie (2014-2023) von 1063 First-Nations-Personen mit chronischer Hepatitis B zur Kosten-Analyse des Hep-B-PAST-Programms versus Standard-Versorgung in Australien.</w:t>
      </w:r>
    </w:p>
    <w:p>
      <w:r>
        <w:rPr>
          <w:b/>
        </w:rPr>
        <w:t xml:space="preserve">Ergebnis: </w:t>
      </w:r>
      <w:r>
        <w:t>Mediane Jahreskosten pro Person ähnlich: Standard $639 (IQR 366–1156) vs. Hep-B-PAST $770 (IQR 400–1272), p=0,12; Mittelwerte Standard $1701 vs. $1970 (p=0,12); dezentrales Modell führte nicht zu Kostensteigerung bei verbesserter Therapie-Adhärenz.</w:t>
      </w:r>
    </w:p>
    <w:p>
      <w:r>
        <w:rPr>
          <w:b/>
          <w:sz w:val="19"/>
        </w:rPr>
        <w:t xml:space="preserve">Übertragbarkeit: </w:t>
      </w:r>
      <w:r>
        <w:rPr>
          <w:sz w:val="19"/>
        </w:rPr>
        <w:t>Australien, vergleichbare öffentliche Versorgungssysteme; Dezentralisierung ist kosteneffizient.</w:t>
      </w:r>
    </w:p>
    <w:p>
      <w:r>
        <w:rPr>
          <w:color w:val="5A7D3A"/>
          <w:sz w:val="18"/>
        </w:rPr>
        <w:t>https://pubmed.ncbi.nlm.nih.gov/42811936/</w:t>
      </w:r>
    </w:p>
    <w:p>
      <w:pPr>
        <w:pStyle w:val="Heading2"/>
      </w:pPr>
      <w:r>
        <w:t>Krankheitslast nicht-übertragbarer Erkrankungen in bangladeschischen Krankenhäusern</w:t>
      </w:r>
    </w:p>
    <w:p>
      <w:r>
        <w:rPr>
          <w:i/>
          <w:color w:val="666666"/>
          <w:sz w:val="18"/>
        </w:rPr>
        <w:t>Proma SB et al.  ·  Mymensingh Med J  ·  Okt. 2026  ·  PMID 42811840</w:t>
      </w:r>
    </w:p>
    <w:p>
      <w:r>
        <w:t>Retrospektive Querschnittsanalyse von 6698 Krankenhausaufnahmen 2022 an einem Tertiärzentrum zur Erfassung der Häufigkeit, Muster und Mortalität durch nicht-übertragbare Erkrankungen.</w:t>
      </w:r>
    </w:p>
    <w:p>
      <w:r>
        <w:rPr>
          <w:b/>
        </w:rPr>
        <w:t xml:space="preserve">Ergebnis: </w:t>
      </w:r>
      <w:r>
        <w:t>42,05% aller Aufnahmen NCDs; weiblich 56,37%, männlich 43,63%; Häufigste Erkrankungen Hypertonie (33,22%), Diabetes (25,34%), Schlaganfall (17,85%), kardiovaskulär (12,14%); NCDs verursachten 88,41% aller Todesfälle (n=164), hauptsächlich kardiovaskulär, Schlaganfall, chronische Atemwegserkrankungen.</w:t>
      </w:r>
    </w:p>
    <w:p>
      <w:r>
        <w:rPr>
          <w:b/>
          <w:sz w:val="19"/>
        </w:rPr>
        <w:t xml:space="preserve">Übertragbarkeit: </w:t>
      </w:r>
      <w:r>
        <w:rPr>
          <w:sz w:val="19"/>
        </w:rPr>
        <w:t>Bangladesch, Ressourcen-limitierte Versorgung; Handlungsbedarf zur Prävention und Früherkennung NCDs evident.</w:t>
      </w:r>
    </w:p>
    <w:p>
      <w:r>
        <w:rPr>
          <w:color w:val="5A7D3A"/>
          <w:sz w:val="18"/>
        </w:rPr>
        <w:t>https://pubmed.ncbi.nlm.nih.gov/42811840/</w:t>
      </w:r>
    </w:p>
    <w:p>
      <w:pPr>
        <w:pStyle w:val="Heading2"/>
      </w:pPr>
      <w:r>
        <w:t>Bewegung in die Krankenhausversorgung: Integrierung von Physiotherapie in die chronische Versorgung</w:t>
      </w:r>
    </w:p>
    <w:p>
      <w:r>
        <w:rPr>
          <w:i/>
          <w:color w:val="666666"/>
          <w:sz w:val="18"/>
        </w:rPr>
        <w:t>Barrera-Garcimartín A et al.  ·  Int J Qual Stud Health Well-being  ·  31.12.2026  ·  PMID 42808772</w:t>
      </w:r>
    </w:p>
    <w:p>
      <w:r>
        <w:t>Qualitative Fokusgruppentudie mit 8 Fachpersonen eines öffentlichen Krankenhauses in Spanien zur Rolle von körperlicher Aktivität in der chronischen Versorgung.</w:t>
      </w:r>
    </w:p>
    <w:p>
      <w:r>
        <w:rPr>
          <w:b/>
        </w:rPr>
        <w:t xml:space="preserve">Ergebnis: </w:t>
      </w:r>
      <w:r>
        <w:t>Teilnehmende beschrieben niedrige Aktivität, mangelnde Ressourcen, fehlende institutionelle Unterstützung und schwache Rahmenbedingungen als Barrieren. Als zentral identifiziert: Integration von Sportfachpersonen, Entwicklung strukturierter Programme, stärkere Collaboration mit externen Institutionen.</w:t>
      </w:r>
    </w:p>
    <w:p>
      <w:r>
        <w:rPr>
          <w:b/>
          <w:sz w:val="19"/>
        </w:rPr>
        <w:t xml:space="preserve">Übertragbarkeit: </w:t>
      </w:r>
      <w:r>
        <w:rPr>
          <w:sz w:val="19"/>
        </w:rPr>
        <w:t>Spanien, öffentliche Krankenhaussysteme; Umsetzungshindernisse sind System-unabhängig.</w:t>
      </w:r>
    </w:p>
    <w:p>
      <w:r>
        <w:rPr>
          <w:color w:val="5A7D3A"/>
          <w:sz w:val="18"/>
        </w:rPr>
        <w:t>https://pubmed.ncbi.nlm.nih.gov/42808772/</w:t>
      </w:r>
    </w:p>
    <w:p>
      <w:pPr>
        <w:pStyle w:val="Heading2"/>
      </w:pPr>
      <w:r>
        <w:t>Minimale klinische Relevanz der EQ-VAS bei Post-COVID: Tagesschwankungen und Mess-Standards</w:t>
      </w:r>
    </w:p>
    <w:p>
      <w:r>
        <w:rPr>
          <w:i/>
          <w:color w:val="666666"/>
          <w:sz w:val="18"/>
        </w:rPr>
        <w:t>Kopp J et al.  ·  BMJ Open  ·  25.09.2026  ·  PMID 42790915</w:t>
      </w:r>
    </w:p>
    <w:p>
      <w:r>
        <w:t>Sekundäranalyse von täglichen EQ-VAS-Werten über 7 Tage bei 153 Post-COVID-Patienten aus einem randomisierten Kontrollversuch zur Bestimmung der minimalen wichtigen Differenz (MID).</w:t>
      </w:r>
    </w:p>
    <w:p>
      <w:r>
        <w:rPr>
          <w:b/>
        </w:rPr>
        <w:t xml:space="preserve">Ergebnis: </w:t>
      </w:r>
      <w:r>
        <w:t>Baseline-Median EQ-VAS 48,7 (0-100 Skala); tageszeitliche Variabilität (Median wpSD 6,4); verteilungsbasierte MID 5,9–8,9 Punkte; ankerbasierte MID 8,96 Punkte (FACIT-Fatigue); empfohlener MID-Wert 8 Punkte für zukünftige Studien.</w:t>
      </w:r>
    </w:p>
    <w:p>
      <w:r>
        <w:rPr>
          <w:b/>
          <w:sz w:val="19"/>
        </w:rPr>
        <w:t xml:space="preserve">Übertragbarkeit: </w:t>
      </w:r>
      <w:r>
        <w:rPr>
          <w:sz w:val="19"/>
        </w:rPr>
        <w:t>Schweiz, vergleichbare Versorgungsstrukturen; Messstandardisierung ist System-unabhängig.</w:t>
      </w:r>
    </w:p>
    <w:p>
      <w:r>
        <w:rPr>
          <w:color w:val="5A7D3A"/>
          <w:sz w:val="18"/>
        </w:rPr>
        <w:t>https://pubmed.ncbi.nlm.nih.gov/42790915/</w:t>
      </w:r>
    </w:p>
    <w:p>
      <w:pPr>
        <w:pStyle w:val="Heading1"/>
      </w:pPr>
      <w:r>
        <w:t>Aufgenommen am 30.09.2026</w:t>
      </w:r>
    </w:p>
    <w:p>
      <w:pPr>
        <w:pStyle w:val="Heading2"/>
      </w:pPr>
      <w:r>
        <w:t>Diagnostische Verzögerung bei POTS-Syndrom: 3 Jahre Median, massive Beeinträchtigung</w:t>
      </w:r>
    </w:p>
    <w:p>
      <w:r>
        <w:rPr>
          <w:i/>
          <w:color w:val="666666"/>
          <w:sz w:val="18"/>
        </w:rPr>
        <w:t>Seeley MC et al.  ·  BMJ Open  ·  29.09.2026  ·  PMID 42810796</w:t>
      </w:r>
    </w:p>
    <w:p>
      <w:r>
        <w:t>Beobachtungskohorte mit 500 Patienten mit bestätigtem Postural-Orthostatic-Tachycardia-Syndrom (POTS) aus australischer Registry dokumentierte Symptombürde, diagnostische Verzögerung und Funktionsbeeinträchtigung.</w:t>
      </w:r>
    </w:p>
    <w:p>
      <w:r>
        <w:rPr>
          <w:b/>
        </w:rPr>
        <w:t xml:space="preserve">Ergebnis: </w:t>
      </w:r>
      <w:r>
        <w:t>Mediane diagnostische Verzögerung 3,0 Jahre (IQR 9,0), 25,5% hatten ≥10 Jahre Verzögerung. Trotz jungen Alters (Durchschnitt 31,3 Jahre) und hoher Bildung: 22% arbeitslos oder könnten nicht zur Schule gehen. Infektion war der häufigste Auslöser (39,4%). Höhere autonome Symptombelastung korrelierte mit mehr Fatigue (FSS 56,0 vs. 48,0; p&lt;0,001), Magen-Darm-Symptomen (GCSI 1,60 vs. 0,89; p&lt;0,001) und schlechterer Lebensqualität (EQ-5D 0,547 vs. 0,717; p&lt;0,001).</w:t>
      </w:r>
    </w:p>
    <w:p>
      <w:r>
        <w:rPr>
          <w:b/>
          <w:sz w:val="19"/>
        </w:rPr>
        <w:t xml:space="preserve">Übertragbarkeit: </w:t>
      </w:r>
      <w:r>
        <w:rPr>
          <w:sz w:val="19"/>
        </w:rPr>
        <w:t>Australien, vergleichbare Primärversorgungsstrukturen, ähnlicher Versorgungsauftrag</w:t>
      </w:r>
    </w:p>
    <w:p>
      <w:r>
        <w:rPr>
          <w:color w:val="5A7D3A"/>
          <w:sz w:val="18"/>
        </w:rPr>
        <w:t>https://pubmed.ncbi.nlm.nih.gov/42810796/</w:t>
      </w:r>
    </w:p>
    <w:p>
      <w:pPr>
        <w:pStyle w:val="Heading2"/>
      </w:pPr>
      <w:r>
        <w:t>Mehrfacherkrankung in Alltag und Versorgung: Qualitative Studie zu komplexer Multimorbidität in Dänemark</w:t>
      </w:r>
    </w:p>
    <w:p>
      <w:r>
        <w:rPr>
          <w:i/>
          <w:color w:val="666666"/>
          <w:sz w:val="18"/>
        </w:rPr>
        <w:t>Poulsen AG et al.  ·  Prim Health Care Res Dev  ·  29.09.2026  ·  PMID 42808657</w:t>
      </w:r>
    </w:p>
    <w:p>
      <w:r>
        <w:t>Qualitative Interviews mit 8 Patienten mit komplexer Multimorbidität zeigten, dass diese Patienten trotz mehrerer Diagnosen keine Kontinuität über alle Erkrankungen hinweg erwarten, sondern wünschen sich spezialisierte Betreuung pro Fachgebiet und einen professionellen Lotsen – häufig den Hausarzt – als Unterstützung.</w:t>
      </w:r>
    </w:p>
    <w:p>
      <w:r>
        <w:rPr>
          <w:b/>
        </w:rPr>
        <w:t xml:space="preserve">Ergebnis: </w:t>
      </w:r>
      <w:r>
        <w:t>Kernfindung: Patienten verfolgen aktiv Bewältigungsstrategien zwischen medizinischen Empfehlungen und persönlichen Prioritäten. Ein Ansprechpartner (oft der Hausarzt) war ein signifikanter Unterstützungsfaktor. Die Ergebnisse unterstreichen die Notwendigkeit einer patientenzentrierten Versorgung, die individuelle Ressourcen anerkennt.</w:t>
      </w:r>
    </w:p>
    <w:p>
      <w:r>
        <w:rPr>
          <w:b/>
          <w:sz w:val="19"/>
        </w:rPr>
        <w:t xml:space="preserve">Übertragbarkeit: </w:t>
      </w:r>
      <w:r>
        <w:rPr>
          <w:sz w:val="19"/>
        </w:rPr>
        <w:t>Dänemark, vergleichbares Primärarztsystem mit Gatekeeper-Funktion</w:t>
      </w:r>
    </w:p>
    <w:p>
      <w:r>
        <w:rPr>
          <w:color w:val="5A7D3A"/>
          <w:sz w:val="18"/>
        </w:rPr>
        <w:t>https://pubmed.ncbi.nlm.nih.gov/42808657/</w:t>
      </w:r>
    </w:p>
    <w:p>
      <w:pPr>
        <w:pStyle w:val="Heading2"/>
      </w:pPr>
      <w:r>
        <w:t>Post-COVID-19-Symptome bei Asthma und COPD: Risikofaktoren identifiziert</w:t>
      </w:r>
    </w:p>
    <w:p>
      <w:r>
        <w:rPr>
          <w:i/>
          <w:color w:val="666666"/>
          <w:sz w:val="18"/>
        </w:rPr>
        <w:t>Andreason A et al.  ·  NPJ Prim Care Respir Med  ·  29.09.2026  ·  PMID 42805994</w:t>
      </w:r>
    </w:p>
    <w:p>
      <w:r>
        <w:t>Querschnittstudie mit 494 Patienten mit bestätigter COVID-19-Infektion aus dem schwedischen PRAXIS-Register untersuchte Häufigkeit und Risikofaktoren für persistierende Symptome bei Asthma oder COPD.</w:t>
      </w:r>
    </w:p>
    <w:p>
      <w:r>
        <w:rPr>
          <w:b/>
        </w:rPr>
        <w:t xml:space="preserve">Ergebnis: </w:t>
      </w:r>
      <w:r>
        <w:t>59% (289/494) berichteten Post-COVID-19-Symptome. Unabhängige Risikofaktoren: schwere akute Infektion (aOR 8,91), höheres Alter (aOR 1,25 pro Jahr), weibliches Geschlecht (aOR 1,52), Adipositas (aOR 2,24), Angststörung/Depression (aOR 1,79) und chronischer Schmerz (aOR 3,61). Patienten mit Asthma/COPD hatten höhere Prävalenz persistierender Symptome als andere Populationen.</w:t>
      </w:r>
    </w:p>
    <w:p>
      <w:r>
        <w:rPr>
          <w:b/>
          <w:sz w:val="19"/>
        </w:rPr>
        <w:t xml:space="preserve">Übertragbarkeit: </w:t>
      </w:r>
      <w:r>
        <w:rPr>
          <w:sz w:val="19"/>
        </w:rPr>
        <w:t>Schweden, europäisches Primärversorgungssystem, vergleichbare Dokumentation</w:t>
      </w:r>
    </w:p>
    <w:p>
      <w:r>
        <w:rPr>
          <w:color w:val="5A7D3A"/>
          <w:sz w:val="18"/>
        </w:rPr>
        <w:t>https://pubmed.ncbi.nlm.nih.gov/42805994/</w:t>
      </w:r>
    </w:p>
    <w:p>
      <w:pPr>
        <w:pStyle w:val="Heading2"/>
      </w:pPr>
      <w:r>
        <w:t>Spezialistisch versorgte chronische Erkrankungen im Primärarztsystem: Analyse deutscher Kassendaten</w:t>
      </w:r>
    </w:p>
    <w:p>
      <w:r>
        <w:rPr>
          <w:i/>
          <w:color w:val="666666"/>
          <w:sz w:val="18"/>
        </w:rPr>
        <w:t>Mangiapane S et al.  ·  Bundesgesundheitsblatt Gesundheitsforschung Gesundheitsschutz  ·  08.09.2026  ·  PMID 42709072</w:t>
      </w:r>
    </w:p>
    <w:p>
      <w:r>
        <w:t>Analyse von bundesweiten Abrechnungsdaten für 2024 identifizierte 173 Diagnosegruppen mit hoher fachärztlicher Versorgungsrelevanz, um zu prüfen, welche chronischen Erkrankungen primärärztlich von Spezialisten koordiniert werden könnten.</w:t>
      </w:r>
    </w:p>
    <w:p>
      <w:r>
        <w:rPr>
          <w:b/>
        </w:rPr>
        <w:t xml:space="preserve">Ergebnis: </w:t>
      </w:r>
      <w:r>
        <w:t>Bei Patienten mit Nierenfunktionsstörung (N25) höchster fachärztlicher Anteil: 83% erhielten nephrologische Behandlung, Nephrologen verantwortlich für 77% krankheitsspezifischer Fälle, aber nur 37% aller Behandlungstage. Bei allen fünf exemplarisch analysierten Indikationen (F33, G35, K51, M05, N25) entfielen 43–55% aller Behandlungstage auf Hausärzte, 92–97% der Patienten wurden hausärztlich versorgt. Schlussfolgerung: Spezialistisch geleitete primärärztliche Versorgung würde umfassende fachübergreifende Koordination erfordern, die wahrscheinlich nur für Einzelfälle realistisch ist.</w:t>
      </w:r>
    </w:p>
    <w:p>
      <w:r>
        <w:rPr>
          <w:b/>
          <w:sz w:val="19"/>
        </w:rPr>
        <w:t xml:space="preserve">Übertragbarkeit: </w:t>
      </w:r>
      <w:r>
        <w:rPr>
          <w:sz w:val="19"/>
        </w:rPr>
        <w:t>Deutschland, eigene Kassendaten, Struktur des Versicherungssystems identisch</w:t>
      </w:r>
    </w:p>
    <w:p>
      <w:r>
        <w:rPr>
          <w:color w:val="5A7D3A"/>
          <w:sz w:val="18"/>
        </w:rPr>
        <w:t>https://pubmed.ncbi.nlm.nih.gov/42709072/</w:t>
      </w:r>
    </w:p>
    <w:p>
      <w:pPr>
        <w:pStyle w:val="Heading2"/>
      </w:pPr>
      <w:r>
        <w:t>Steatose bei chronischer Hepatitis B: 42% Prävalenz bei vulnerablen Patienten, HBeAg protektiv, T2DM risikosteigernd</w:t>
      </w:r>
    </w:p>
    <w:p>
      <w:r>
        <w:rPr>
          <w:i/>
          <w:color w:val="666666"/>
          <w:sz w:val="18"/>
        </w:rPr>
        <w:t>Trifan A et al.  ·  J Gastrointestin Liver Dis  ·  29.08.2026  ·  PMID 42667659</w:t>
      </w:r>
    </w:p>
    <w:p>
      <w:r>
        <w:t>Prospektive Querschnittsstudie mit 1.970 Patienten mit chronischer Hepatitis B aus Screening-Programm in Rumänien (LIVE(RO)2) identifizierte metabolische Risikofaktoren für hepatische Steatose mittels kontrollierter Dämpfungsparameter (CAP).</w:t>
      </w:r>
    </w:p>
    <w:p>
      <w:r>
        <w:rPr>
          <w:b/>
        </w:rPr>
        <w:t xml:space="preserve">Ergebnis: </w:t>
      </w:r>
      <w:r>
        <w:t>Steatose-Prävalenz 42,2% bei vulnerablen (sozial benachteiligten) Patienten vs. 26,4% bei nicht-vulnerablen. Vulnerable Patienten hatten höhere Prävalenz von T2DM (11,5%), Hypertonie (41,3%) und Übergewicht (71,3%). HBeAg-Positivität war protektiv gegen Steatose (aOR 0,397), aber erhöhte Zirrhose-Risiko um Faktor 6. Schwere Fibrose (≥F3): 17,1% bei vulnerablen vs. 9,7% bei nicht-vulnerablen.</w:t>
      </w:r>
    </w:p>
    <w:p>
      <w:r>
        <w:rPr>
          <w:b/>
          <w:sz w:val="19"/>
        </w:rPr>
        <w:t xml:space="preserve">Übertragbarkeit: </w:t>
      </w:r>
      <w:r>
        <w:rPr>
          <w:sz w:val="19"/>
        </w:rPr>
        <w:t>Rumänien, Länder Südosteuropas, Primärversorgungsdaten, Struktur ähnlich mitteleuro­päischen Systemen</w:t>
      </w:r>
    </w:p>
    <w:p>
      <w:r>
        <w:rPr>
          <w:color w:val="5A7D3A"/>
          <w:sz w:val="18"/>
        </w:rPr>
        <w:t>https://pubmed.ncbi.nlm.nih.gov/42667659/</w:t>
      </w:r>
    </w:p>
    <w:p>
      <w:pPr>
        <w:pStyle w:val="Heading2"/>
      </w:pPr>
      <w:r>
        <w:t>Point-of-Care-Ultraschall in Zambia erkennt Zirrhose mit moderater Genauigkeit</w:t>
      </w:r>
    </w:p>
    <w:p>
      <w:r>
        <w:rPr>
          <w:i/>
          <w:color w:val="666666"/>
          <w:sz w:val="18"/>
        </w:rPr>
        <w:t>Bertoni C et al.  ·  J Viral Hepat  ·  Sept. 2026  ·  PMID 42547938</w:t>
      </w:r>
    </w:p>
    <w:p>
      <w:r>
        <w:t>Machbarkeitsstudie mit 197 Patienten mit chronischer Hepatitis B ± HIV in Zambia testete, ob trainierte nicht-radiologische Fachkräfte ein vereinfachtes Ultraschallprotokoll (PUSH) zur Erkennung von Fibrose, Zirrhose und HCC einsetzen können.</w:t>
      </w:r>
    </w:p>
    <w:p>
      <w:r>
        <w:rPr>
          <w:b/>
        </w:rPr>
        <w:t xml:space="preserve">Ergebnis: </w:t>
      </w:r>
      <w:r>
        <w:t>Nach kurzer Schulung: PUSH zeigte niedrige Genauigkeit für signifikante Fibrose (Sensitivität 8,3%, Spezifität 100%, AUROC 0,54), moderate Genauigkeit für Zirrhose (Sensitivität 60,9%, Spezifität 97,7%, AUROC 0,79) und höhere Genauigkeit für Leberläsionen verdächtig auf HCC (Sensitivität 85,7%, Spezifität 98,4%, AUROC 0,92). Schlussfolgerung: Frontline-Fachkräfte können PUSH für Zirrhose und Leberläsionen nutzen, wenn Labor- und Elastographiesysteme fehlen.</w:t>
      </w:r>
    </w:p>
    <w:p>
      <w:r>
        <w:rPr>
          <w:b/>
          <w:sz w:val="19"/>
        </w:rPr>
        <w:t xml:space="preserve">Übertragbarkeit: </w:t>
      </w:r>
      <w:r>
        <w:rPr>
          <w:sz w:val="19"/>
        </w:rPr>
        <w:t>Ressourcenarm-Setting, Übertragbarkeit auf Deutschland gering, aber Methodische Relevanz für Versorgung ohne hochwertige Labordiagnostik</w:t>
      </w:r>
    </w:p>
    <w:p>
      <w:r>
        <w:rPr>
          <w:color w:val="5A7D3A"/>
          <w:sz w:val="18"/>
        </w:rPr>
        <w:t>https://pubmed.ncbi.nlm.nih.gov/42547938/</w:t>
      </w:r>
    </w:p>
    <w:p>
      <w:pPr>
        <w:pStyle w:val="Heading1"/>
      </w:pPr>
      <w:r>
        <w:t>Aufgenommen am 29.09.2026</w:t>
      </w:r>
    </w:p>
    <w:p>
      <w:pPr>
        <w:pStyle w:val="Heading2"/>
      </w:pPr>
      <w:r>
        <w:t>Sarcopenie bei chronischer Nierenkrankheit: 28 % Prävalenz bei ESRD, assoziiert mit Metabolik und Frailty</w:t>
      </w:r>
    </w:p>
    <w:p>
      <w:r>
        <w:rPr>
          <w:i/>
          <w:color w:val="666666"/>
          <w:sz w:val="18"/>
        </w:rPr>
        <w:t>Agidew MM et al.  ·  BMJ Open  ·  28.09.2026  ·  PMID 42805656</w:t>
      </w:r>
    </w:p>
    <w:p>
      <w:r>
        <w:t>Querschnittstudie aus Äthiopien zu Sarcopenie-Prävalenz und Risikofaktoren bei erwachsenen CKD-Patienten (n=120) in einer nephrologischen Klinik, mit fokus auf ESRD-Differenzierung.</w:t>
      </w:r>
    </w:p>
    <w:p>
      <w:r>
        <w:rPr>
          <w:b/>
        </w:rPr>
        <w:t xml:space="preserve">Ergebnis: </w:t>
      </w:r>
      <w:r>
        <w:t>Sarcopenie-Prävalenz war signifikant höher bei ESRD als ohne ESRD (28,3 % vs. 10,0 %; p=0,01). Unabhängige Prädiktoren waren niedriges HDL, erhöhtes Triglycerid, Hyperglykämie, Hypertonie und Frailty. Korrelationen mit Nierenfunktion (r=−0,291; p=0,001) und oxidativem Stress bestätigt.</w:t>
      </w:r>
    </w:p>
    <w:p>
      <w:r>
        <w:rPr>
          <w:b/>
          <w:sz w:val="19"/>
        </w:rPr>
        <w:t xml:space="preserve">Übertragbarkeit: </w:t>
      </w:r>
      <w:r>
        <w:rPr>
          <w:sz w:val="19"/>
        </w:rPr>
        <w:t>Äthiopien, aber CKD-Komplikationen global, Screening-Empfehlungen übertragbar</w:t>
      </w:r>
    </w:p>
    <w:p>
      <w:r>
        <w:rPr>
          <w:color w:val="5A7D3A"/>
          <w:sz w:val="18"/>
        </w:rPr>
        <w:t>https://pubmed.ncbi.nlm.nih.gov/42805656/</w:t>
      </w:r>
    </w:p>
    <w:p>
      <w:pPr>
        <w:pStyle w:val="Heading2"/>
      </w:pPr>
      <w:r>
        <w:t>Nierentransplantate von Spendern mit Diabetes: 5-Jahres-Funktion nach Matchingvergleich unbedenklich</w:t>
      </w:r>
    </w:p>
    <w:p>
      <w:r>
        <w:rPr>
          <w:i/>
          <w:color w:val="666666"/>
          <w:sz w:val="18"/>
        </w:rPr>
        <w:t>Colella-Santos M et al.  ·  Clin Transplant  ·  Okt. 2026  ·  PMID 42804549</w:t>
      </w:r>
    </w:p>
    <w:p>
      <w:r>
        <w:t>Retrospektive brasilianische Kohortenstudie zu 5-Jahres-Nierenfunktion und Transplantat-Überleben nach Nierentransplantation mit verstorbenen Spendern mit oder ohne Diabetes mellitus (n=3.058), mit Propensity-Score-Matching.</w:t>
      </w:r>
    </w:p>
    <w:p>
      <w:r>
        <w:rPr>
          <w:b/>
        </w:rPr>
        <w:t xml:space="preserve">Ergebnis: </w:t>
      </w:r>
      <w:r>
        <w:t>Nach Matching unterschieden sich eGFR über 5 Jahre, eGFR-Steigung und zensiertes Transplantat-Überleben nicht zwischen Spendern mit und ohne Diabetes. Pre-implantations-Biopsien zeigten selten Diabetes-assoziierte glomeruläre Läsionen; keine Banff-Parameter sagten eGFR&lt;30 oder Transplantatverlust voraus (alle p&gt;0,05).</w:t>
      </w:r>
    </w:p>
    <w:p>
      <w:r>
        <w:rPr>
          <w:b/>
          <w:sz w:val="19"/>
        </w:rPr>
        <w:t xml:space="preserve">Übertragbarkeit: </w:t>
      </w:r>
      <w:r>
        <w:rPr>
          <w:sz w:val="19"/>
        </w:rPr>
        <w:t>Brasilien, aber Organallokation und Transplantat-Qualitätskriterien überträglich</w:t>
      </w:r>
    </w:p>
    <w:p>
      <w:r>
        <w:rPr>
          <w:color w:val="5A7D3A"/>
          <w:sz w:val="18"/>
        </w:rPr>
        <w:t>https://pubmed.ncbi.nlm.nih.gov/42804549/</w:t>
      </w:r>
    </w:p>
    <w:p>
      <w:pPr>
        <w:pStyle w:val="Heading2"/>
      </w:pPr>
      <w:r>
        <w:t>Ältere mit konservativer Nierenfunktions-Erhaltung lehnen Dialyse ab – Nephrologie stellt sie selten bereit</w:t>
      </w:r>
    </w:p>
    <w:p>
      <w:r>
        <w:rPr>
          <w:i/>
          <w:color w:val="666666"/>
          <w:sz w:val="18"/>
        </w:rPr>
        <w:t>Geiger MP et al.  ·  JAMA Netw Open  ·  01.09.2026  ·  PMID 42804203</w:t>
      </w:r>
    </w:p>
    <w:p>
      <w:r>
        <w:t>Qualitative Sekundäranalyse von Klinikakten aus zwei US-RCTs (CKD-EDU und DIAL-SDM, 2019–2024) zur Entscheidungsfindung von älteren (≥75 Jahren) mit ESRD bezüglich konservativer Nierenbehandlung ohne Dialyse.</w:t>
      </w:r>
    </w:p>
    <w:p>
      <w:r>
        <w:rPr>
          <w:b/>
        </w:rPr>
        <w:t xml:space="preserve">Ergebnis: </w:t>
      </w:r>
      <w:r>
        <w:t>35 von 118 Patienten (mittl. Alter 82 J.) wählten konservative Behandlung. Gründe: Vermeidung von Dialyse-Belastung zur Qualitätserhaltung, schlechte Gesundheit, Beobachtung von Dialyse-Folgen bei Angehörigen, Schutz vor Übermedikalisierung am Lebensende. Nephrologists hinterfragten häufig zielkonkordante Entscheidungen, initiierten selten Advance-Care-Planning.</w:t>
      </w:r>
    </w:p>
    <w:p>
      <w:r>
        <w:rPr>
          <w:b/>
          <w:sz w:val="19"/>
        </w:rPr>
        <w:t xml:space="preserve">Übertragbarkeit: </w:t>
      </w:r>
      <w:r>
        <w:rPr>
          <w:sz w:val="19"/>
        </w:rPr>
        <w:t>USA, aber Shared Decision Making und Palliativversorgung international relevant</w:t>
      </w:r>
    </w:p>
    <w:p>
      <w:r>
        <w:rPr>
          <w:color w:val="5A7D3A"/>
          <w:sz w:val="18"/>
        </w:rPr>
        <w:t>https://pubmed.ncbi.nlm.nih.gov/42804203/</w:t>
      </w:r>
    </w:p>
    <w:p>
      <w:pPr>
        <w:pStyle w:val="Heading2"/>
      </w:pPr>
      <w:r>
        <w:t>Therapietreue senkt HCC-Inzidenz bei Hepatitis-B-Zirrhose um 23 %</w:t>
      </w:r>
    </w:p>
    <w:p>
      <w:r>
        <w:rPr>
          <w:i/>
          <w:color w:val="666666"/>
          <w:sz w:val="18"/>
        </w:rPr>
        <w:t>Shin YE et al.  ·  J Med Virol  ·  Okt. 2026  ·  PMID 42803662</w:t>
      </w:r>
    </w:p>
    <w:p>
      <w:r>
        <w:t>Kohortenstudie mit südkoreanischen Abrechnungsdaten zur Assoziation zwischen Therapietreue (Medikamentenpossession-Ratio ≥90 %) bei Nukleosid-Analoga-Therapie und Hepatozellulären Karzinom-Risiko bei chronischer Hepatitis B.</w:t>
      </w:r>
    </w:p>
    <w:p>
      <w:r>
        <w:rPr>
          <w:b/>
        </w:rPr>
        <w:t xml:space="preserve">Ergebnis: </w:t>
      </w:r>
      <w:r>
        <w:t>Bei Patienten mit Claims-definierter Zirrhose zeigte hohe Therapietreue eine 34 % niedrigere HCC-Inzidenz als geringe Treue (32,92 vs. 49,59 pro 1000 Personenjahre; IR-Ratio 0,66; 95%-KI 0,57–0,78), in multivariaten Cox-Regressionen bestätigt (HR 0,77; 95%-KI 0,66–0,90).</w:t>
      </w:r>
    </w:p>
    <w:p>
      <w:r>
        <w:rPr>
          <w:b/>
          <w:sz w:val="19"/>
        </w:rPr>
        <w:t xml:space="preserve">Übertragbarkeit: </w:t>
      </w:r>
      <w:r>
        <w:rPr>
          <w:sz w:val="19"/>
        </w:rPr>
        <w:t>Südkorea, nationales Versicherungssystem vergleichbar mit Deutschland</w:t>
      </w:r>
    </w:p>
    <w:p>
      <w:r>
        <w:rPr>
          <w:color w:val="5A7D3A"/>
          <w:sz w:val="18"/>
        </w:rPr>
        <w:t>https://pubmed.ncbi.nlm.nih.gov/42803662/</w:t>
      </w:r>
    </w:p>
    <w:p>
      <w:pPr>
        <w:pStyle w:val="Heading2"/>
      </w:pPr>
      <w:r>
        <w:t>Automatische Peritonealdialyse senkt Restfunktion schneller als CAPD</w:t>
      </w:r>
    </w:p>
    <w:p>
      <w:r>
        <w:rPr>
          <w:i/>
          <w:color w:val="666666"/>
          <w:sz w:val="18"/>
        </w:rPr>
        <w:t>Sun L et al.  ·  Ren Fail  ·  27.09.2026  ·  PMID 42802590</w:t>
      </w:r>
    </w:p>
    <w:p>
      <w:r>
        <w:t>Retrospektive chinesische Kohortenstudie zu Nierenrestfunktion (RKF) bei Peritonealdialyse-Patienten mit Neudiagnose ESKD, vergleichend nach Modalität (APD vs. CAPD).</w:t>
      </w:r>
    </w:p>
    <w:p>
      <w:r>
        <w:rPr>
          <w:b/>
        </w:rPr>
        <w:t xml:space="preserve">Ergebnis: </w:t>
      </w:r>
      <w:r>
        <w:t>Nach 6 Monaten Peritonealdialyse zeigte die APD-Gruppe signifikant niedrigere RKF (1,9±1,6 vs. 3,0±1,7 mL/min/1,73 m²; p=0,043) und schnelleren mittleren RKF-Rückgang (−6,6±2,5 vs. −4,3±2,3 mL/min/1,73 m²/Jahr; p=0,002). In multivariater Regression war APD unabhängig mit beschleunigtem RKF-Rückgang assoziiert (β=0,93; p=0,004).</w:t>
      </w:r>
    </w:p>
    <w:p>
      <w:r>
        <w:rPr>
          <w:b/>
          <w:sz w:val="19"/>
        </w:rPr>
        <w:t xml:space="preserve">Übertragbarkeit: </w:t>
      </w:r>
      <w:r>
        <w:rPr>
          <w:sz w:val="19"/>
        </w:rPr>
        <w:t>China, aber Nierenersatzverfahren und Organschutz universal relevant</w:t>
      </w:r>
    </w:p>
    <w:p>
      <w:r>
        <w:rPr>
          <w:color w:val="5A7D3A"/>
          <w:sz w:val="18"/>
        </w:rPr>
        <w:t>https://pubmed.ncbi.nlm.nih.gov/42802590/</w:t>
      </w:r>
    </w:p>
    <w:p>
      <w:pPr>
        <w:pStyle w:val="Heading2"/>
      </w:pPr>
      <w:r>
        <w:t>Direkt-wirkende Antivirale sind sicher bei Hepatitis-C-Patienten mit Hypertonie</w:t>
      </w:r>
    </w:p>
    <w:p>
      <w:r>
        <w:rPr>
          <w:i/>
          <w:color w:val="666666"/>
          <w:sz w:val="18"/>
        </w:rPr>
        <w:t>Brzdęk M et al.  ·  Viruses  ·  12.07.2026  ·  PMID 42515615</w:t>
      </w:r>
    </w:p>
    <w:p>
      <w:r>
        <w:t>Retrospektive Kohortenstudie von 2015–2023 aus Polen zu Sicherheit und Wirksamkeit direkt-wirkender Antiviraler (DAA) bei HCV-infizierten Patienten mit arterieller Hypertonie.</w:t>
      </w:r>
    </w:p>
    <w:p>
      <w:r>
        <w:rPr>
          <w:b/>
        </w:rPr>
        <w:t xml:space="preserve">Ergebnis: </w:t>
      </w:r>
      <w:r>
        <w:t>Von 18.968 DAA-behandelten HCV-Patienten hatten 5.976 Hypertonie. Anhaltendes virologisches Ansprechen (SVR) war hoch und vergleichbar zwischen Hypertonie- und Nicht-Hypertonie-Gruppe (94,8 % vs. 94,2 % ITT-Analyse, 97,6 % vs. 97,6 % per-Protokoll). Hypertonie war nicht unabhängig mit Therapieversagen assoziiert (OR 0,87; 95%-KI 0,69–1,10).</w:t>
      </w:r>
    </w:p>
    <w:p>
      <w:r>
        <w:rPr>
          <w:b/>
          <w:sz w:val="19"/>
        </w:rPr>
        <w:t xml:space="preserve">Übertragbarkeit: </w:t>
      </w:r>
      <w:r>
        <w:rPr>
          <w:sz w:val="19"/>
        </w:rPr>
        <w:t>Polen, Struktur und Kostenträgermodell europäisch vergleichbar</w:t>
      </w:r>
    </w:p>
    <w:p>
      <w:r>
        <w:rPr>
          <w:color w:val="5A7D3A"/>
          <w:sz w:val="18"/>
        </w:rPr>
        <w:t>https://pubmed.ncbi.nlm.nih.gov/42515615/</w:t>
      </w:r>
    </w:p>
    <w:p>
      <w:pPr>
        <w:pStyle w:val="Heading1"/>
      </w:pPr>
      <w:r>
        <w:t>Aufgenommen am 28.09.2026</w:t>
      </w:r>
    </w:p>
    <w:p>
      <w:pPr>
        <w:pStyle w:val="Heading2"/>
      </w:pPr>
      <w:r>
        <w:t>Strukturierte COPD-Versorgung senkte Sterblichkeit nach akuter Exazerbation um 36 %</w:t>
      </w:r>
    </w:p>
    <w:p>
      <w:r>
        <w:rPr>
          <w:i/>
          <w:color w:val="666666"/>
          <w:sz w:val="18"/>
        </w:rPr>
        <w:t>Flury JS et al.  ·  Swiss Med Wkly  ·  31.08.2026  ·  PMID 42801453</w:t>
      </w:r>
    </w:p>
    <w:p>
      <w:r>
        <w:t>Retrospektive Kohorte von 1.855 Patienten mit akuter COPD-Exazerbation: Wer vor Hospitalisierung langwirkende inhalative Therapie erhielt, hatte deutlich bessere 1-Jahres-Überlebenschancen.</w:t>
      </w:r>
    </w:p>
    <w:p>
      <w:r>
        <w:rPr>
          <w:b/>
        </w:rPr>
        <w:t xml:space="preserve">Ergebnis: </w:t>
      </w:r>
      <w:r>
        <w:t>15,9 % Mortalität ohne Vortherapie vs. 10,1 % mit Vortherapie (adjustierte HR 1,95; 95%-KI 1,48–2,56; p&lt;0,001). Diagnostische und therapeutische Lücken waren erheblich: 50,6 % fehlte GOLD-Spirometrie-Staging, 82,6 % fehlte Risikostratifizierung.</w:t>
      </w:r>
    </w:p>
    <w:p>
      <w:r>
        <w:rPr>
          <w:b/>
          <w:sz w:val="19"/>
        </w:rPr>
        <w:t xml:space="preserve">Übertragbarkeit: </w:t>
      </w:r>
      <w:r>
        <w:rPr>
          <w:sz w:val="19"/>
        </w:rPr>
        <w:t>Schweiz, sekundäres Krankenhaus, vergleichbar mit deutscher Dokumentationspraxis und Strukturen.</w:t>
      </w:r>
    </w:p>
    <w:p>
      <w:r>
        <w:rPr>
          <w:color w:val="5A7D3A"/>
          <w:sz w:val="18"/>
        </w:rPr>
        <w:t>https://pubmed.ncbi.nlm.nih.gov/42801453/</w:t>
      </w:r>
    </w:p>
    <w:p>
      <w:pPr>
        <w:pStyle w:val="Heading2"/>
      </w:pPr>
      <w:r>
        <w:t>Natrium-Bikarbonat verbesserte Lebensqualität nicht bei CKD mit metabolischer Azidose</w:t>
      </w:r>
    </w:p>
    <w:p>
      <w:r>
        <w:rPr>
          <w:i/>
          <w:color w:val="666666"/>
          <w:sz w:val="18"/>
        </w:rPr>
        <w:t>Chan JYM et al.  ·  Qual Life Res  ·  27.09.2026  ·  PMID 42801387</w:t>
      </w:r>
    </w:p>
    <w:p>
      <w:r>
        <w:t>Pragmatische 18-Monats-RCT in Malaysia: 74 Patienten mit CKD Stadium 3–4 und metabolischer Azidose randomisiert zu Natrium-Bikarbonat (Tablette/Lösung) oder Standardbetreuung; Lebensqualität mittels KDQOL-36 und EQ-VAS gemessen.</w:t>
      </w:r>
    </w:p>
    <w:p>
      <w:r>
        <w:rPr>
          <w:b/>
        </w:rPr>
        <w:t xml:space="preserve">Ergebnis: </w:t>
      </w:r>
      <w:r>
        <w:t>Natrium-Bikarbonat erhöhte Serum-Bikarbonat initial, aber nur 1/3 erreichte Zielbereich 22–26 mmol/L. KDQOL-36- und EQ-VAS-Scores verbesserten sich nicht signifikant. CKD-Progression war unabhängig mit niedrigerer Lebensqualität assoziiert. Keine signifikanten Unterschiede in Blutdruck, Körpergewicht oder Hospitalisierungen.</w:t>
      </w:r>
    </w:p>
    <w:p>
      <w:r>
        <w:rPr>
          <w:b/>
          <w:sz w:val="19"/>
        </w:rPr>
        <w:t xml:space="preserve">Übertragbarkeit: </w:t>
      </w:r>
      <w:r>
        <w:rPr>
          <w:sz w:val="19"/>
        </w:rPr>
        <w:t>Malaysia, Primäre Versorgung, zeigt, dass Laborwerte nicht automatisch Patientenbefinden verbessern.</w:t>
      </w:r>
    </w:p>
    <w:p>
      <w:r>
        <w:rPr>
          <w:color w:val="5A7D3A"/>
          <w:sz w:val="18"/>
        </w:rPr>
        <w:t>https://pubmed.ncbi.nlm.nih.gov/42801387/</w:t>
      </w:r>
    </w:p>
    <w:p>
      <w:pPr>
        <w:pStyle w:val="Heading2"/>
      </w:pPr>
      <w:r>
        <w:t>Depression und Angst bei COPD-Patienten: Großflächig unterdiagnostiziert und untertherapiert</w:t>
      </w:r>
    </w:p>
    <w:p>
      <w:r>
        <w:rPr>
          <w:i/>
          <w:color w:val="666666"/>
          <w:sz w:val="18"/>
        </w:rPr>
        <w:t>Valiulis T et al.  ·  Int J Chron Obstruct Pulmon Dis  ·  22.09.2026  ·  PMID 42801175</w:t>
      </w:r>
    </w:p>
    <w:p>
      <w:r>
        <w:t>Landesweite Sekundärdatenanalyse aus Litauen mit 64.246 COPD-Patienten zur Häufigkeit psychiatrischer Komorbiditäten und deren Behandlung.</w:t>
      </w:r>
    </w:p>
    <w:p>
      <w:r>
        <w:rPr>
          <w:b/>
        </w:rPr>
        <w:t xml:space="preserve">Ergebnis: </w:t>
      </w:r>
      <w:r>
        <w:t>18,1 % hatte diagnostizierte psychiatrische Störung (26,8 % Frauen vs. 12,1 % Männer; adjustierte OR 2,40; p&lt;0,001). Angststörungen 15,0 %, depressive Störungen 4,6 %. 61,9 % der betroffenen Patienten erhielten Psychopharmaka, davon 89,9 % Anxiolytika. Hausärzte verschrieben 10,66-fach häufiger Anxiolytika als Psychiater.</w:t>
      </w:r>
    </w:p>
    <w:p>
      <w:r>
        <w:rPr>
          <w:b/>
          <w:sz w:val="19"/>
        </w:rPr>
        <w:t xml:space="preserve">Übertragbarkeit: </w:t>
      </w:r>
      <w:r>
        <w:rPr>
          <w:sz w:val="19"/>
        </w:rPr>
        <w:t>Litauen, Primäre Versorgung, zeigt Versorgungslücke auch in europäischen Gesundheitssystemen.</w:t>
      </w:r>
    </w:p>
    <w:p>
      <w:r>
        <w:rPr>
          <w:color w:val="5A7D3A"/>
          <w:sz w:val="18"/>
        </w:rPr>
        <w:t>https://pubmed.ncbi.nlm.nih.gov/42801175/</w:t>
      </w:r>
    </w:p>
    <w:p>
      <w:pPr>
        <w:pStyle w:val="Heading2"/>
      </w:pPr>
      <w:r>
        <w:t>Multidimensionale COPD-Phänotypen lassen sich clustern, benötigen aber externe Validierung</w:t>
      </w:r>
    </w:p>
    <w:p>
      <w:r>
        <w:rPr>
          <w:i/>
          <w:color w:val="666666"/>
          <w:sz w:val="18"/>
        </w:rPr>
        <w:t>Portacci A et al.  ·  Medicina (Kaunas)  ·  29.08.2026  ·  PMID 42796263</w:t>
      </w:r>
    </w:p>
    <w:p>
      <w:r>
        <w:t>Explorative Querschnittsstudie mit 161 COPD-Patienten: Unüberwachte Clusteranalyse (PAM) auf klinische, funktionelle, radiologische und Labordaten zur Identifikation von Phänotyp-Subgruppen.</w:t>
      </w:r>
    </w:p>
    <w:p>
      <w:r>
        <w:rPr>
          <w:b/>
        </w:rPr>
        <w:t xml:space="preserve">Ergebnis: </w:t>
      </w:r>
      <w:r>
        <w:t>Zwei-Cluster-Lösung hatte höchste Silhouetten-Breite (0,184), aber geringe Trennung. Cluster 1 (n=78): höhere Symptom- und Exazerbationslast, schlechtere Lungenfunktion, stärkere statische Hyperinflation, kürzere 6-Minuten-Gehstrecke, häufiger Emphysem. Bootstrap-Resampling zeigte interne Stabilität, externe Validierung aber erforderlich. Nur LAMA/LABA/ICS-Einsatz unterschied sich signifikant zwischen Clustern.</w:t>
      </w:r>
    </w:p>
    <w:p>
      <w:r>
        <w:rPr>
          <w:b/>
          <w:sz w:val="19"/>
        </w:rPr>
        <w:t xml:space="preserve">Übertragbarkeit: </w:t>
      </w:r>
      <w:r>
        <w:rPr>
          <w:sz w:val="19"/>
        </w:rPr>
        <w:t>Italien, Sekundärversorgung; explorativ, externe Validierung ausstehend.</w:t>
      </w:r>
    </w:p>
    <w:p>
      <w:r>
        <w:rPr>
          <w:color w:val="5A7D3A"/>
          <w:sz w:val="18"/>
        </w:rPr>
        <w:t>https://pubmed.ncbi.nlm.nih.gov/42796263/</w:t>
      </w:r>
    </w:p>
    <w:p>
      <w:pPr>
        <w:pStyle w:val="Heading2"/>
      </w:pPr>
      <w:r>
        <w:t>RDW sagt 1-Jahres-Mortalität bei CKD mit Hypertonie voraus – praktisch anwendbar</w:t>
      </w:r>
    </w:p>
    <w:p>
      <w:r>
        <w:rPr>
          <w:i/>
          <w:color w:val="666666"/>
          <w:sz w:val="18"/>
        </w:rPr>
        <w:t>Li L et al.  ·  BMC Cardiovasc Disord  ·  08.08.2026  ·  PMID 42791552</w:t>
      </w:r>
    </w:p>
    <w:p>
      <w:r>
        <w:t>Retrospektive Kohorte von 6.731 ICU-Patienten mit hypertensiver CKD aus MIMIC-IV: Assoziation von Blutbild-Parametern (RDW, HRR, RPR) mit 1-Jahres-Mortalität mittels Cox-Regression und ROC-Analysen.</w:t>
      </w:r>
    </w:p>
    <w:p>
      <w:r>
        <w:rPr>
          <w:b/>
        </w:rPr>
        <w:t xml:space="preserve">Ergebnis: </w:t>
      </w:r>
      <w:r>
        <w:t>37,2 % (2.505/6.731) starben innerhalb eines Jahres. Erhöhtes RDW assoziiert mit erhöhtem Mortalitätsrisiko (HR 1,19; 95%-KI 1,16–1,21; p&lt;0,001). AUC für RDW 0,668, für HRR 0,600. RDW verbesserte Vorhersageleistung etablierter Risikomodelle; Subgruppen-Interaktionen mit CRRT-Einsatz und CKD-Stadium nachgewiesen.</w:t>
      </w:r>
    </w:p>
    <w:p>
      <w:r>
        <w:rPr>
          <w:b/>
          <w:sz w:val="19"/>
        </w:rPr>
        <w:t xml:space="preserve">Übertragbarkeit: </w:t>
      </w:r>
      <w:r>
        <w:rPr>
          <w:sz w:val="19"/>
        </w:rPr>
        <w:t>MIMIC-IV-Datenbank (USA), aber einfache Laborparameter ohne Kostensperre übertragbar.</w:t>
      </w:r>
    </w:p>
    <w:p>
      <w:r>
        <w:rPr>
          <w:color w:val="5A7D3A"/>
          <w:sz w:val="18"/>
        </w:rPr>
        <w:t>https://pubmed.ncbi.nlm.nih.gov/42791552/</w:t>
      </w:r>
    </w:p>
    <w:p>
      <w:pPr>
        <w:pStyle w:val="Heading2"/>
      </w:pPr>
      <w:r>
        <w:t>Kindliche Traumata verdoppeln Multimorbidität im Alter – Dosis-Wirkungs-Beziehung nachgewiesen</w:t>
      </w:r>
    </w:p>
    <w:p>
      <w:r>
        <w:rPr>
          <w:i/>
          <w:color w:val="666666"/>
          <w:sz w:val="18"/>
        </w:rPr>
        <w:t>Ahmed A et al.  ·  PLoS One  ·  25.09.2026  ·  PMID 42789523</w:t>
      </w:r>
    </w:p>
    <w:p>
      <w:r>
        <w:t>Querschnittsstudie mit 734 Nigeranern ≥60 Jahren: Kumulative adverse Kindheitserlebnisse (ACEs) und deren Assoziation mit Multimorbidität (≥2 chronische Erkrankungen).</w:t>
      </w:r>
    </w:p>
    <w:p>
      <w:r>
        <w:rPr>
          <w:b/>
        </w:rPr>
        <w:t xml:space="preserve">Ergebnis: </w:t>
      </w:r>
      <w:r>
        <w:t>68,4 % berichteten ≥4 ACEs. Multimorbidität bei 38,4 % (≥3 Erkrankungen). Unadjustierte OR für ≥4 ACEs: 67,14 (95%-KI 9,25–487,04). Nach Adjustierung (Alter, Geschlecht, Haushaltsgröße) OR 15,58 (95%-KI 1,33–182,21). Klare Dosis-Wirkungs-Beziehung nachgewiesen.</w:t>
      </w:r>
    </w:p>
    <w:p>
      <w:r>
        <w:rPr>
          <w:b/>
          <w:sz w:val="19"/>
        </w:rPr>
        <w:t xml:space="preserve">Übertragbarkeit: </w:t>
      </w:r>
      <w:r>
        <w:rPr>
          <w:sz w:val="19"/>
        </w:rPr>
        <w:t>Nigeria, aber Lebensverlauf-Mechanismus transkulturell relevant; zeigt Ungleichheit als Untersuchungsgegenstand.</w:t>
      </w:r>
    </w:p>
    <w:p>
      <w:r>
        <w:rPr>
          <w:color w:val="5A7D3A"/>
          <w:sz w:val="18"/>
        </w:rPr>
        <w:t>https://pubmed.ncbi.nlm.nih.gov/42789523/</w:t>
      </w:r>
    </w:p>
    <w:p>
      <w:pPr>
        <w:pStyle w:val="Heading1"/>
      </w:pPr>
      <w:r>
        <w:t>Aufgenommen am 27.09.2026</w:t>
      </w:r>
    </w:p>
    <w:p>
      <w:pPr>
        <w:pStyle w:val="Heading2"/>
      </w:pPr>
      <w:r>
        <w:t>Kritische Fehler bei 73 % der Patienten: Inhalationstechnik in Asthma und COPD deutlich verbesserbar</w:t>
      </w:r>
    </w:p>
    <w:p>
      <w:r>
        <w:rPr>
          <w:i/>
          <w:color w:val="666666"/>
          <w:sz w:val="18"/>
        </w:rPr>
        <w:t>Damasceno IHM et al.  ·  Can Respir J  ·  2026  ·  PMID 42799340</w:t>
      </w:r>
    </w:p>
    <w:p>
      <w:r>
        <w:t>Querschnittstudie an 575 Patienten (≥18 Jahre) mit Asthma und/oder COPD, die ihre Inhalationstechnik mit standardisierten Checklisten demonstrierten.</w:t>
      </w:r>
    </w:p>
    <w:p>
      <w:r>
        <w:rPr>
          <w:b/>
        </w:rPr>
        <w:t xml:space="preserve">Ergebnis: </w:t>
      </w:r>
      <w:r>
        <w:t>Nur 8,2% führten alle Schritte korrekt aus; 73,4% hatten ≥1 kritischen Fehler. Unabhängig assoziiert mit kritischen Fehlern: höheres Alter (OR 1,029 pro Jahr), Mehrgeräte-Nutzung (OR 2,500), schützend: inspiratorisch-unabhängige Mechanismen (OR 0,262). Ältere Patienten und Mehrgerätenutzer besonders vulnerabel.</w:t>
      </w:r>
    </w:p>
    <w:p>
      <w:r>
        <w:rPr>
          <w:b/>
          <w:sz w:val="19"/>
        </w:rPr>
        <w:t xml:space="preserve">Übertragbarkeit: </w:t>
      </w:r>
      <w:r>
        <w:rPr>
          <w:sz w:val="19"/>
        </w:rPr>
        <w:t>Brasilien, aber Technikmängel universell; Intervention mit lokalem Ressourcentransfer übertragbar</w:t>
      </w:r>
    </w:p>
    <w:p>
      <w:r>
        <w:rPr>
          <w:color w:val="5A7D3A"/>
          <w:sz w:val="18"/>
        </w:rPr>
        <w:t>https://pubmed.ncbi.nlm.nih.gov/42799340/</w:t>
      </w:r>
    </w:p>
    <w:p>
      <w:pPr>
        <w:pStyle w:val="Heading2"/>
      </w:pPr>
      <w:r>
        <w:t>Finerenon reduziert Proteinurie um 52 % bei Typ-2-Diabetes mit CKD und hoher Proteinausscheidung</w:t>
      </w:r>
    </w:p>
    <w:p>
      <w:r>
        <w:rPr>
          <w:i/>
          <w:color w:val="666666"/>
          <w:sz w:val="18"/>
        </w:rPr>
        <w:t>Sun N et al.  ·  Front Endocrinol (Lausanne)  ·  11.09.2026  ·  PMID 42798812</w:t>
      </w:r>
    </w:p>
    <w:p>
      <w:r>
        <w:t>Retrospektive Kohortenstudie an 134 Patienten mit Typ-2-Diabetes und CKD mit Proteinurie &gt;1 g/d, behandelt mit oder ohne Finerenon über 12 Monate.</w:t>
      </w:r>
    </w:p>
    <w:p>
      <w:r>
        <w:rPr>
          <w:b/>
        </w:rPr>
        <w:t xml:space="preserve">Ergebnis: </w:t>
      </w:r>
      <w:r>
        <w:t>Finerenon-Gruppe: 52,8% mit erhaltener gestufter Proteinurie-Verbesserung vs. Kontrolle 33,3%. Nach Propensity Score-Gewichtung: OR 1,26 (95% KI 1,07–1,47; p=0,004). Kaplan-Meier zeigte signifikanten Unterschied in der Zeit bis zur Verbesserung (Log-rank p=0,026–0,033). Kein erhöhtes Hyperkalämie-Risiko über 12 Monate.</w:t>
      </w:r>
    </w:p>
    <w:p>
      <w:r>
        <w:rPr>
          <w:b/>
          <w:sz w:val="19"/>
        </w:rPr>
        <w:t xml:space="preserve">Übertragbarkeit: </w:t>
      </w:r>
      <w:r>
        <w:rPr>
          <w:sz w:val="19"/>
        </w:rPr>
        <w:t>China, aber Finerenon europäisch zugelassen; Mehrfacherkrankung (Diabetes+CKD) zentral</w:t>
      </w:r>
    </w:p>
    <w:p>
      <w:r>
        <w:rPr>
          <w:color w:val="5A7D3A"/>
          <w:sz w:val="18"/>
        </w:rPr>
        <w:t>https://pubmed.ncbi.nlm.nih.gov/42798812/</w:t>
      </w:r>
    </w:p>
    <w:p>
      <w:pPr>
        <w:pStyle w:val="Heading2"/>
      </w:pPr>
      <w:r>
        <w:t>Nach Stoppung antiviraler Therapie bei Hepatitis B: 20 % erzielen HBsAg-Verlust, aber 24 % schwere Schübe</w:t>
      </w:r>
    </w:p>
    <w:p>
      <w:r>
        <w:rPr>
          <w:i/>
          <w:color w:val="666666"/>
          <w:sz w:val="18"/>
        </w:rPr>
        <w:t>Lund K et al.  ·  Viruses  ·  15.09.2026  ·  PMID 42797857</w:t>
      </w:r>
    </w:p>
    <w:p>
      <w:r>
        <w:t>Prospektive Studie an 25 HBeAg-negativen Patienten ohne Zirrhose, die nach ≥3 Jahren Nukleos(t)id-Analog-Therapie abstoppten, mit 2-jähriger monatlicher Nachsorge (initial 6 Monate).</w:t>
      </w:r>
    </w:p>
    <w:p>
      <w:r>
        <w:rPr>
          <w:b/>
        </w:rPr>
        <w:t xml:space="preserve">Ergebnis: </w:t>
      </w:r>
      <w:r>
        <w:t>Nach Therapie-Stopp: 5 Patienten (20%) HBsAg-Seroclearance-Muster (4 HBsAg-Negativität, 1 &lt;1 IU/mL); 7 (28%) immunologische Kontrolle mit persistierend niedriger HBV-DNA und normaler ALT; 6 (24%) schwere Schübe mit Therapie-Wiederaufnahme, einschließlich 1 fulminanter Hepatitis mit Lebertransplantation. Alle mit schwerem Schub hatten detektierbare HBcrAg bei Therapie-Stopp. Spitzen-HBV-DNA korrelierte mit und präzedierte Spitzen-ALT.</w:t>
      </w:r>
    </w:p>
    <w:p>
      <w:r>
        <w:rPr>
          <w:b/>
          <w:sz w:val="19"/>
        </w:rPr>
        <w:t xml:space="preserve">Übertragbarkeit: </w:t>
      </w:r>
      <w:r>
        <w:rPr>
          <w:sz w:val="19"/>
        </w:rPr>
        <w:t>Schweden, aber internationale Patienten; enges Monitoring mit schnellen HBV-DNA-Tests in Deutschland verfügbar</w:t>
      </w:r>
    </w:p>
    <w:p>
      <w:r>
        <w:rPr>
          <w:color w:val="5A7D3A"/>
          <w:sz w:val="18"/>
        </w:rPr>
        <w:t>https://pubmed.ncbi.nlm.nih.gov/42797857/</w:t>
      </w:r>
    </w:p>
    <w:p>
      <w:pPr>
        <w:pStyle w:val="Heading2"/>
      </w:pPr>
      <w:r>
        <w:t>Ketoanaloga-ergänzte Protein-Diät bei CKD und Herzinsuffizienz: Körpergewicht sinkt, Albumin stabil</w:t>
      </w:r>
    </w:p>
    <w:p>
      <w:r>
        <w:rPr>
          <w:i/>
          <w:color w:val="666666"/>
          <w:sz w:val="18"/>
        </w:rPr>
        <w:t>Tanasescu MD et al.  ·  Nutrients  ·  20.09.2026  ·  PMID 42797051</w:t>
      </w:r>
    </w:p>
    <w:p>
      <w:r>
        <w:t>Retrospektive Kohortenstudie an 75 Erwachsenen mit fortgeschrittener nicht-dialysepflichtiger CKD und chronischer Herzinsuffizienz, behandelt mit Ketoanaloga-ergänzter sehr niedriger Protein-Diät (0,28–0,40 g/kg/Tag) über Median 243 Tage mit Ernährungsberater-Unterstützung.</w:t>
      </w:r>
    </w:p>
    <w:p>
      <w:r>
        <w:rPr>
          <w:b/>
        </w:rPr>
        <w:t xml:space="preserve">Ergebnis: </w:t>
      </w:r>
      <w:r>
        <w:t>Primäres Outcome (Körpergewichtsverlust): Hodges-Lehmann-Schätzung −3,99% (95% KI −4,68 bis −3,42; p&lt;0,001). Mittleres Körpergewicht sank von 75,85±7,98 auf 72,65±7,09 kg (−3,10 kg; 95% KI −3,60 bis −2,65). BMI sank (−0,95 kg/m²; p&lt;0,001). ≥5% Gewichtsverlust bei 22 Patienten (29,3%), keiner ≥10%. Serumalbumin und Gesamtprotein stiegen leicht an. eGFR-Abfall moderat (−1,50 mL/min/1,73 m²; p=0,007). Phosphor, Kalzium-Phosphor-Produkt, PTH und alkalische Phosphatase sanken, Kalzium stieg. NYHA-Klasse in 61 Patienten (81,3%) unverändert, LVEF leicht gesunken.</w:t>
      </w:r>
    </w:p>
    <w:p>
      <w:r>
        <w:rPr>
          <w:b/>
          <w:sz w:val="19"/>
        </w:rPr>
        <w:t xml:space="preserve">Übertragbarkeit: </w:t>
      </w:r>
      <w:r>
        <w:rPr>
          <w:sz w:val="19"/>
        </w:rPr>
        <w:t>Rumänien; Mehrfacherkrankung (CKD+Herzinsuffizienz), spezialisierte Ernährungsintervention in Deutschland durch Nephrologie etabliert</w:t>
      </w:r>
    </w:p>
    <w:p>
      <w:r>
        <w:rPr>
          <w:color w:val="5A7D3A"/>
          <w:sz w:val="18"/>
        </w:rPr>
        <w:t>https://pubmed.ncbi.nlm.nih.gov/42797051/</w:t>
      </w:r>
    </w:p>
    <w:p>
      <w:pPr>
        <w:pStyle w:val="Heading2"/>
      </w:pPr>
      <w:r>
        <w:t>Aktives Case Finding mit CAT-Fragebogen verdoppelt COPD-Diagnosen in rumänischer Hausarztpraxis</w:t>
      </w:r>
    </w:p>
    <w:p>
      <w:r>
        <w:rPr>
          <w:i/>
          <w:color w:val="666666"/>
          <w:sz w:val="18"/>
        </w:rPr>
        <w:t>Iana AN et al.  ·  Medicina (Kaunas)  ·  21.09.2026  ·  PMID 42796426</w:t>
      </w:r>
    </w:p>
    <w:p>
      <w:r>
        <w:t>Prospektive Studie unter 220 Patienten über 40 Jahren mit Atemwegsrisikofaktoren, die spirometrische Testung nach Screening mit COPD Assessment Test (CAT) und mMRC-Dyspnoe-Skala durchliefen.</w:t>
      </w:r>
    </w:p>
    <w:p>
      <w:r>
        <w:rPr>
          <w:b/>
        </w:rPr>
        <w:t xml:space="preserve">Ergebnis: </w:t>
      </w:r>
      <w:r>
        <w:t>COPD bei 48,2% diagnostiziert (n=106). CAT-Schwelle ≥17 zeigte beste Kennwerte (64,2% Sensitivität, 74,6% Spezifität), mMRC≥2 hohe Spezifität (82,5%), aber niedrige Sensitivität (41,5%). Symptombelastung (Husten, Sputum, Schlaf) war aussagekräftiger als Dyspnoe allein für Case Finding in der Primärversorgung.</w:t>
      </w:r>
    </w:p>
    <w:p>
      <w:r>
        <w:rPr>
          <w:b/>
          <w:sz w:val="19"/>
        </w:rPr>
        <w:t xml:space="preserve">Übertragbarkeit: </w:t>
      </w:r>
      <w:r>
        <w:rPr>
          <w:sz w:val="19"/>
        </w:rPr>
        <w:t>Rumänische Hausarztpraxis, jedoch generisch übertragbar für spezialisiertes Case Finding ohne nationale DMP-Struktur</w:t>
      </w:r>
    </w:p>
    <w:p>
      <w:r>
        <w:rPr>
          <w:color w:val="5A7D3A"/>
          <w:sz w:val="18"/>
        </w:rPr>
        <w:t>https://pubmed.ncbi.nlm.nih.gov/42796426/</w:t>
      </w:r>
    </w:p>
    <w:p>
      <w:pPr>
        <w:pStyle w:val="Heading2"/>
      </w:pPr>
      <w:r>
        <w:t>Bessere Inhalationstechnik und höheres Wissen verdreifachen Therapietreue bei COPD</w:t>
      </w:r>
    </w:p>
    <w:p>
      <w:r>
        <w:rPr>
          <w:i/>
          <w:color w:val="666666"/>
          <w:sz w:val="18"/>
        </w:rPr>
        <w:t>Nguyen H et al.  ·  JMIR Nurs  ·  25.09.2026  ·  PMID 42789344</w:t>
      </w:r>
    </w:p>
    <w:p>
      <w:r>
        <w:t>Querschnittstudie an 420 ambulanten COPD-Patienten zu Wissen, praktischen Inhalations- und Atemtechniken sowie Therapietreue.</w:t>
      </w:r>
    </w:p>
    <w:p>
      <w:r>
        <w:rPr>
          <w:b/>
        </w:rPr>
        <w:t xml:space="preserve">Ergebnis: </w:t>
      </w:r>
      <w:r>
        <w:t>Nur 36,9% (n=155) adhärent insgesamt. 78,8% mit unzureichendem COPD-Wissen, 63,8% mit adäquaten praktischen Fähigkeiten. Höheres Wissensscore (aOR 1,20; 95% KI 1,06–1,31; p=0,001), korrekte Inhalationstechnik (aOR 3,10; 95% KI 2,10–4,70; p=0,001) und adäquate Atemtechniken (aOR 1,70; 95% KI 1,08–2,71; p=0,02) unabhängig mit besserer Adhärenz assoziiert.</w:t>
      </w:r>
    </w:p>
    <w:p>
      <w:r>
        <w:rPr>
          <w:b/>
          <w:sz w:val="19"/>
        </w:rPr>
        <w:t xml:space="preserve">Übertragbarkeit: </w:t>
      </w:r>
      <w:r>
        <w:rPr>
          <w:sz w:val="19"/>
        </w:rPr>
        <w:t>Vietnam; Patienten-Edukation und Skilltraining sind universell wirksame Versorgungselemente</w:t>
      </w:r>
    </w:p>
    <w:p>
      <w:r>
        <w:rPr>
          <w:color w:val="5A7D3A"/>
          <w:sz w:val="18"/>
        </w:rPr>
        <w:t>https://pubmed.ncbi.nlm.nih.gov/42789344/</w:t>
      </w:r>
    </w:p>
    <w:p>
      <w:pPr>
        <w:pStyle w:val="Heading1"/>
      </w:pPr>
      <w:r>
        <w:t>Aufgenommen am 26.09.2026</w:t>
      </w:r>
    </w:p>
    <w:p>
      <w:pPr>
        <w:pStyle w:val="Heading2"/>
      </w:pPr>
      <w:r>
        <w:t>Multimorbidity erhöht Depressionrisiko: systematische Übersicht von Kohortenstudien</w:t>
      </w:r>
    </w:p>
    <w:p>
      <w:r>
        <w:rPr>
          <w:i/>
          <w:color w:val="666666"/>
          <w:sz w:val="18"/>
        </w:rPr>
        <w:t>Wu J et al.  ·  J Glob Health  ·  25.09.2026  ·  PMID 42788325</w:t>
      </w:r>
    </w:p>
    <w:p>
      <w:r>
        <w:t>Systematische Überprüfung von 17 Kohortenstudien zu Assoziationen zwischen Mehrfacherkrankung und inzidenter Depression oder depressiven Symptomen.</w:t>
      </w:r>
    </w:p>
    <w:p>
      <w:r>
        <w:rPr>
          <w:b/>
        </w:rPr>
        <w:t xml:space="preserve">Ergebnis: </w:t>
      </w:r>
      <w:r>
        <w:t>Mehrfacherkrankung war konsistent mit erhöhtem Depressionrisiko assoziiert; das Risiko stieg mit der Zahl chronischer Erkrankungen. Kardiovaskulär-metabolische und respiratorische Muster zeigten die konsistentesten Assoziationen mit Depression. Diese Assoziation war über Geschlechter und Länder stabil.</w:t>
      </w:r>
    </w:p>
    <w:p>
      <w:r>
        <w:rPr>
          <w:b/>
          <w:sz w:val="19"/>
        </w:rPr>
        <w:t xml:space="preserve">Übertragbarkeit: </w:t>
      </w:r>
      <w:r>
        <w:rPr>
          <w:sz w:val="19"/>
        </w:rPr>
        <w:t>Europäische und internationale Kohortenstudien, Ergebnisse unabhängig von Versorgungsstrukturen übertragbar.</w:t>
      </w:r>
    </w:p>
    <w:p>
      <w:r>
        <w:rPr>
          <w:color w:val="5A7D3A"/>
          <w:sz w:val="18"/>
        </w:rPr>
        <w:t>https://pubmed.ncbi.nlm.nih.gov/42788325/</w:t>
      </w:r>
    </w:p>
    <w:p>
      <w:pPr>
        <w:pStyle w:val="Heading2"/>
      </w:pPr>
      <w:r>
        <w:t>Versicherungslücken erhöhten Kostenhindernisse bei Mehrfacherkrankten um bis zu 3,44-fach</w:t>
      </w:r>
    </w:p>
    <w:p>
      <w:r>
        <w:rPr>
          <w:i/>
          <w:color w:val="666666"/>
          <w:sz w:val="18"/>
        </w:rPr>
        <w:t>Cao Y et al.  ·  Front Public Health  ·  10.09.2026  ·  PMID 42787109</w:t>
      </w:r>
    </w:p>
    <w:p>
      <w:r>
        <w:t>Querschnittstudie mit US-Versichertendaten (MEPS) zur Assoziation zwischen Dauer von Versicherungslücken und nachfolgenden kostenbezogenen Barrieren für medizinische Versorgung bei Erwachsenen mit Mehrfacherkrankung.</w:t>
      </w:r>
    </w:p>
    <w:p>
      <w:r>
        <w:rPr>
          <w:b/>
        </w:rPr>
        <w:t xml:space="preserve">Ergebnis: </w:t>
      </w:r>
      <w:r>
        <w:t>Verglichen mit keiner Lücke hatten Patienten mit 24 Monaten Versicherungslücke eine aOR von 3,44 (95%-KI 1,84–6,44) für Kostenhindernisse; bereinigte Wahrscheinlichkeiten waren 17,4 % (keine Lücke) bis 39,8 % (24 Monate). Kontinuierlich Versicherte hatten höhere Gesamtausgaben ($26.134 vs. $4.884).</w:t>
      </w:r>
    </w:p>
    <w:p>
      <w:r>
        <w:rPr>
          <w:b/>
          <w:sz w:val="19"/>
        </w:rPr>
        <w:t xml:space="preserve">Übertragbarkeit: </w:t>
      </w:r>
      <w:r>
        <w:rPr>
          <w:sz w:val="19"/>
        </w:rPr>
        <w:t>USA-Daten mit anderer Finanzierung; übertragbar nur für Erkenntnisse über Versicherungslücken als Risikofaktor.</w:t>
      </w:r>
    </w:p>
    <w:p>
      <w:r>
        <w:rPr>
          <w:color w:val="5A7D3A"/>
          <w:sz w:val="18"/>
        </w:rPr>
        <w:t>https://pubmed.ncbi.nlm.nih.gov/42787109/</w:t>
      </w:r>
    </w:p>
    <w:p>
      <w:pPr>
        <w:pStyle w:val="Heading2"/>
      </w:pPr>
      <w:r>
        <w:t>Schlafhygiene-Profile bei chronischen Erkrankungen: drei Phenotypen mit unterschiedlichen Risikofaktoren</w:t>
      </w:r>
    </w:p>
    <w:p>
      <w:r>
        <w:rPr>
          <w:i/>
          <w:color w:val="666666"/>
          <w:sz w:val="18"/>
        </w:rPr>
        <w:t>Seong H et al.  ·  Appl Nurs Res  ·  12.09.2026  ·  PMID 42785828</w:t>
      </w:r>
    </w:p>
    <w:p>
      <w:r>
        <w:t>Latent-Class-Analyse von 488 koreanischen Patienten mit chronischen Erkrankungen und Schlafstörungen (PSQI &gt;5) zur Identifikation von Schlafhygiene-Profilen.</w:t>
      </w:r>
    </w:p>
    <w:p>
      <w:r>
        <w:rPr>
          <w:b/>
        </w:rPr>
        <w:t xml:space="preserve">Ergebnis: </w:t>
      </w:r>
      <w:r>
        <w:t>Drei Profile identifiziert: 'Optimale Schlafhygiene' (66,2 %), 'Verhaltensbezogene gestörte Schlaf' (27,7 %) und 'Hochrisiko-dysregulierter Schlaf' (6,1 %). Verhaltensgestörte Gruppe assoziiert mit Rauchen (OR 16,53), Alkohol (OR 3,78) und männlichem Geschlecht (OR 3,53). Hochrisiko-Gruppe mit psychosozialer Belastung (OR 5,38) assoziiert.</w:t>
      </w:r>
    </w:p>
    <w:p>
      <w:r>
        <w:rPr>
          <w:b/>
          <w:sz w:val="19"/>
        </w:rPr>
        <w:t xml:space="preserve">Übertragbarkeit: </w:t>
      </w:r>
      <w:r>
        <w:rPr>
          <w:sz w:val="19"/>
        </w:rPr>
        <w:t>Südkorea; Erkenntnisse zur Identifikation heterogener Schlafhygiene-Phänotypen vergleichbar, Interventionen müssen lokal validiert werden.</w:t>
      </w:r>
    </w:p>
    <w:p>
      <w:r>
        <w:rPr>
          <w:color w:val="5A7D3A"/>
          <w:sz w:val="18"/>
        </w:rPr>
        <w:t>https://pubmed.ncbi.nlm.nih.gov/42785828/</w:t>
      </w:r>
    </w:p>
    <w:p>
      <w:pPr>
        <w:pStyle w:val="Heading2"/>
      </w:pPr>
      <w:r>
        <w:t>Ramadan-Fasten bei Hämodialyse-Patienten mit Diabetes: keine Hypoglykämie unter standardisiertem Protokoll</w:t>
      </w:r>
    </w:p>
    <w:p>
      <w:r>
        <w:rPr>
          <w:i/>
          <w:color w:val="666666"/>
          <w:sz w:val="18"/>
        </w:rPr>
        <w:t>Saman A et al.  ·  Med Sci (Basel)  ·  27.08.2026  ·  PMID 42783395</w:t>
      </w:r>
    </w:p>
    <w:p>
      <w:r>
        <w:t>Prospektive Multizenterstudie mit 153 Patienten mit terminalem Nierenversagen und Diabetes an vier Zentren in Thailand zu Sicherheit von Ramadan-Fasten unter Hämodialyse.</w:t>
      </w:r>
    </w:p>
    <w:p>
      <w:r>
        <w:rPr>
          <w:b/>
        </w:rPr>
        <w:t xml:space="preserve">Ergebnis: </w:t>
      </w:r>
      <w:r>
        <w:t>Keine intradialytischen Hypoglykämien in Vollfast- oder Nicht-Fasten-Gruppen (0 Episoden); eine Episode (0,2 %) in Teilfasten-Gruppe. Hämodialyse-Komplikationen, Blutdruck, Kt/V-Wert und interdialytische Gewichtszunahme vergleichbar über alle Gruppen. Serum-Kalium und Parathormon stiegen ohne klinische Ereignisse.</w:t>
      </w:r>
    </w:p>
    <w:p>
      <w:r>
        <w:rPr>
          <w:b/>
          <w:sz w:val="19"/>
        </w:rPr>
        <w:t xml:space="preserve">Übertragbarkeit: </w:t>
      </w:r>
      <w:r>
        <w:rPr>
          <w:sz w:val="19"/>
        </w:rPr>
        <w:t>Thailand, aber standardisiertes Medikamentenmanagement und Monitoring-Protokoll auf deutsche Dialysezentren übertragbar.</w:t>
      </w:r>
    </w:p>
    <w:p>
      <w:r>
        <w:rPr>
          <w:color w:val="5A7D3A"/>
          <w:sz w:val="18"/>
        </w:rPr>
        <w:t>https://pubmed.ncbi.nlm.nih.gov/42783395/</w:t>
      </w:r>
    </w:p>
    <w:p>
      <w:pPr>
        <w:pStyle w:val="Heading2"/>
      </w:pPr>
      <w:r>
        <w:t>Post-Bronchodilator-COPD mit erhöhtem Mortalitätsrisiko: Lateinamerikanische Populationsstudie</w:t>
      </w:r>
    </w:p>
    <w:p>
      <w:r>
        <w:rPr>
          <w:i/>
          <w:color w:val="666666"/>
          <w:sz w:val="18"/>
        </w:rPr>
        <w:t>Pérez-Padilla R et al.  ·  Respir Res Clin Pract  ·  22.05.2026  ·  PMID 42781375</w:t>
      </w:r>
    </w:p>
    <w:p>
      <w:r>
        <w:t>PLATINO-Kohortenstudie mit 2.942 Teilnehmern über 5–9 Jahre zur Prognostizierung von Mortalität, Exazerbationen und FEV1-Verlauf durch prä- und post-Bronchodilator-Atemwegsobstruktion.</w:t>
      </w:r>
    </w:p>
    <w:p>
      <w:r>
        <w:rPr>
          <w:b/>
        </w:rPr>
        <w:t xml:space="preserve">Ergebnis: </w:t>
      </w:r>
      <w:r>
        <w:t>Persistente Atemwegsobstruktion (post-BD) assoziiert mit Mortalität (HR 2,99; 95%-KI 2,1–4,3) vs. Kontrollen; reversible Obstruktion (HR 1,9; 95%-KI 1,1–3,1) hatte 4,1-fach höheres Risiko für COPD-Entwicklung (OR 4,1; 95%-KI 2,0–8,5). FEV1-Rückgang in persistenter Gruppe –13,4 mL/Jahr.</w:t>
      </w:r>
    </w:p>
    <w:p>
      <w:r>
        <w:rPr>
          <w:b/>
          <w:sz w:val="19"/>
        </w:rPr>
        <w:t xml:space="preserve">Übertragbarkeit: </w:t>
      </w:r>
      <w:r>
        <w:rPr>
          <w:sz w:val="19"/>
        </w:rPr>
        <w:t>Lateinamerika, aber Spirometrie-Standards international vergleichbar; Risikostratifizierung übertragbar auf Deutschland.</w:t>
      </w:r>
    </w:p>
    <w:p>
      <w:r>
        <w:rPr>
          <w:color w:val="5A7D3A"/>
          <w:sz w:val="18"/>
        </w:rPr>
        <w:t>https://pubmed.ncbi.nlm.nih.gov/42781375/</w:t>
      </w:r>
    </w:p>
    <w:p>
      <w:pPr>
        <w:pStyle w:val="Heading2"/>
      </w:pPr>
      <w:r>
        <w:t>Cordyceps sinensis schützte vor CKD-Progression nach virusinduziertem Akutnierenversagen</w:t>
      </w:r>
    </w:p>
    <w:p>
      <w:r>
        <w:rPr>
          <w:i/>
          <w:color w:val="666666"/>
          <w:sz w:val="18"/>
        </w:rPr>
        <w:t>Min M et al.  ·  Ren Fail  ·  23.09.2026  ·  PMID 42779256</w:t>
      </w:r>
    </w:p>
    <w:p>
      <w:r>
        <w:t>Retrospektive Kohortenstudie mit 99 Patienten mit Hämorrhagischem Fieber und Nierensyndrom (HFRS-AKI) an einem chinesischen Zentrum zum Effekt von Cordyceps-sinensis-Präparaten auf Nierenerholung.</w:t>
      </w:r>
    </w:p>
    <w:p>
      <w:r>
        <w:rPr>
          <w:b/>
        </w:rPr>
        <w:t xml:space="preserve">Ergebnis: </w:t>
      </w:r>
      <w:r>
        <w:t>27,3 % der HFRS-AKI-Patienten entwickelten CKD. Cordyceps-sinensis-Behandlung war unabhängiger Schutzfaktor gegen unvollständige Nierenerholung (OR 0,323; 95%-KI 0,114–0,916; p=0,034). Inverse-Probability-Weighting bestätigte Assoziation (β –1,184; p=0,026). Überlebenszeitanalyse zeigte verbesserte Nierenergebnisse (Log-Rank p=0,004).</w:t>
      </w:r>
    </w:p>
    <w:p>
      <w:r>
        <w:rPr>
          <w:b/>
          <w:sz w:val="19"/>
        </w:rPr>
        <w:t xml:space="preserve">Übertragbarkeit: </w:t>
      </w:r>
      <w:r>
        <w:rPr>
          <w:sz w:val="19"/>
        </w:rPr>
        <w:t>China, virales-induziertes Akutnierenversagen; Erkenntnisse zu Adjuvantien-Therapie-Effekten prinzipiell übertragbar, aber Präparat-Verfügbarkeit lokal unterschiedlich.</w:t>
      </w:r>
    </w:p>
    <w:p>
      <w:r>
        <w:rPr>
          <w:color w:val="5A7D3A"/>
          <w:sz w:val="18"/>
        </w:rPr>
        <w:t>https://pubmed.ncbi.nlm.nih.gov/42779256/</w:t>
      </w:r>
    </w:p>
    <w:p>
      <w:pPr>
        <w:pStyle w:val="Heading1"/>
      </w:pPr>
      <w:r>
        <w:t>Aufgenommen am 25.09.2026</w:t>
      </w:r>
    </w:p>
    <w:p>
      <w:pPr>
        <w:pStyle w:val="Heading2"/>
      </w:pPr>
      <w:r>
        <w:t>Neutrophile und Lymphozyten vorhersagen Adipositas-assoziierte CKD bei Älteren</w:t>
      </w:r>
    </w:p>
    <w:p>
      <w:r>
        <w:rPr>
          <w:i/>
          <w:color w:val="666666"/>
          <w:sz w:val="18"/>
        </w:rPr>
        <w:t>Zhu B et al.  ·  Ren Fail  ·  24.09.2026  ·  PMID 42785974</w:t>
      </w:r>
    </w:p>
    <w:p>
      <w:r>
        <w:t>Querschnittsanalyse von 15.000+ älteren Erwachsenen (65–85 J.) in Shanghai: Erhöhte Neutrophile und Lymphozyten sowie niedrigeres Verhältnis Thrombozyt-zu-Lymphozyt wurden unabhängig mit CKD bei Adipösen assoziiert.</w:t>
      </w:r>
    </w:p>
    <w:p>
      <w:r>
        <w:rPr>
          <w:b/>
        </w:rPr>
        <w:t xml:space="preserve">Ergebnis: </w:t>
      </w:r>
      <w:r>
        <w:t>Bei adipösen Teilnehmern: erhöhte Neutrophile aOR 1,42 (95% CI 1,07–1,90) für höchstes vs. niedriges Tertil, erhöhte Lymphozyten aOR 1,53 (95% CI 1,16–2,01); Thrombozyten-Lymphozyten-Verhältnis aOR 0,70 (95% CI 0,53–0,92) – diese Routineblutuntersuchungen könnten frühe Risikoschichtung adipositas-assoziierter CKD ermöglichen.</w:t>
      </w:r>
    </w:p>
    <w:p>
      <w:r>
        <w:rPr>
          <w:b/>
          <w:sz w:val="19"/>
        </w:rPr>
        <w:t xml:space="preserve">Übertragbarkeit: </w:t>
      </w:r>
      <w:r>
        <w:rPr>
          <w:sz w:val="19"/>
        </w:rPr>
        <w:t>China, vergleichbar mit Sozialversicherungssystemen; Blutungsparameter sind Routinemarkierungen</w:t>
      </w:r>
    </w:p>
    <w:p>
      <w:r>
        <w:rPr>
          <w:color w:val="5A7D3A"/>
          <w:sz w:val="18"/>
        </w:rPr>
        <w:t>https://pubmed.ncbi.nlm.nih.gov/42785974/</w:t>
      </w:r>
    </w:p>
    <w:p>
      <w:pPr>
        <w:pStyle w:val="Heading2"/>
      </w:pPr>
      <w:r>
        <w:t>Patient-Provider-Partnerschaft erhöht Advance-Care-Planning-Bereitschaft bei CKD-Patienten</w:t>
      </w:r>
    </w:p>
    <w:p>
      <w:r>
        <w:rPr>
          <w:i/>
          <w:color w:val="666666"/>
          <w:sz w:val="18"/>
        </w:rPr>
        <w:t>Hsu JR et al.  ·  Appl Nurs Res  ·  27.08.2026  ·  PMID 42785824</w:t>
      </w:r>
    </w:p>
    <w:p>
      <w:r>
        <w:t>Querschnittsstudie an 218 nichtdialysepflichtigen CKD-Patienten: Patient-Provider-Partnerschaft war stärkster unabhängiger Prädiktor der Bereitschaft zu Advance Care Planning (ACP), nicht aber Krankheitsstadium oder Nierenfunktion.</w:t>
      </w:r>
    </w:p>
    <w:p>
      <w:r>
        <w:rPr>
          <w:b/>
        </w:rPr>
        <w:t xml:space="preserve">Ergebnis: </w:t>
      </w:r>
      <w:r>
        <w:t>Patient-Provider-Partnerschaft erklärte 12,7 % der Varianz in ACP-Bereitschaft (vs. 6,1 % bei Demografie allein); höheres Alter und stärkere Partnerschaft waren assoziiert mit erhöhter Bereitschaft. ACP-Bereitschaft insgesamt niedrig bis moderat, besonders beim initialen Gespräch mit Fachkräften.</w:t>
      </w:r>
    </w:p>
    <w:p>
      <w:r>
        <w:rPr>
          <w:b/>
          <w:sz w:val="19"/>
        </w:rPr>
        <w:t xml:space="preserve">Übertragbarkeit: </w:t>
      </w:r>
      <w:r>
        <w:rPr>
          <w:sz w:val="19"/>
        </w:rPr>
        <w:t>Taiwan, ambulante Nephrologie; Übertragbarkeit auf Deutschland hängt von Arzt-Patient-Kommunikation ab</w:t>
      </w:r>
    </w:p>
    <w:p>
      <w:r>
        <w:rPr>
          <w:color w:val="5A7D3A"/>
          <w:sz w:val="18"/>
        </w:rPr>
        <w:t>https://pubmed.ncbi.nlm.nih.gov/42785824/</w:t>
      </w:r>
    </w:p>
    <w:p>
      <w:pPr>
        <w:pStyle w:val="Heading2"/>
      </w:pPr>
      <w:r>
        <w:t>Antihypertensive Medikation zeigt minimale Assoziation mit Lebensqualität bei CKD-Jugendlichen</w:t>
      </w:r>
    </w:p>
    <w:p>
      <w:r>
        <w:rPr>
          <w:i/>
          <w:color w:val="666666"/>
          <w:sz w:val="18"/>
        </w:rPr>
        <w:t>Botdorf M et al.  ·  Qual Life Res  ·  24.09.2026  ·  PMID 42782549</w:t>
      </w:r>
    </w:p>
    <w:p>
      <w:r>
        <w:t>Querschnittsanalyse von 395 Jugendlichen (8–21 J.) mit CKD und Hypertonie an 15 US-Zentren: Über 95 % berichten positive Versorgungserfahrungen; antihypertensive Medikamentenlast zeigte nur schwache Assoziation mit Lebensqualität, während körperliche Symptombelastung hoch ist.</w:t>
      </w:r>
    </w:p>
    <w:p>
      <w:r>
        <w:rPr>
          <w:b/>
        </w:rPr>
        <w:t xml:space="preserve">Ergebnis: </w:t>
      </w:r>
      <w:r>
        <w:t>Mehrere Medikamente (23 % der Kohorte) assoziiert mit leicht niedrigerem globalen Gesundheitswert (B –2,6; 95% CI –4,9 bis –0,3); keine Assoziationen mit anderen Lebensqualitätsdimensionen. Jugendliche berichten gesamthaft niedrigere QoL als allgemeine Bevölkerung, besonders in globalem Gesundheitswert und Müdigkeit.</w:t>
      </w:r>
    </w:p>
    <w:p>
      <w:r>
        <w:rPr>
          <w:b/>
          <w:sz w:val="19"/>
        </w:rPr>
        <w:t xml:space="preserve">Übertragbarkeit: </w:t>
      </w:r>
      <w:r>
        <w:rPr>
          <w:sz w:val="19"/>
        </w:rPr>
        <w:t>USA, spezialisierte Pädiatrie; Lebensqualitätsmessung übertragbar, Medikamentenlasten können variieren</w:t>
      </w:r>
    </w:p>
    <w:p>
      <w:r>
        <w:rPr>
          <w:color w:val="5A7D3A"/>
          <w:sz w:val="18"/>
        </w:rPr>
        <w:t>https://pubmed.ncbi.nlm.nih.gov/42782549/</w:t>
      </w:r>
    </w:p>
    <w:p>
      <w:pPr>
        <w:pStyle w:val="Heading2"/>
      </w:pPr>
      <w:r>
        <w:t>Mehrdimensionales Risiko-Screening identifiziert High-Risk-Gruppe mit 41 % aller Adverse Events bei älteren Patienten mit Mehrfacherkrankung</w:t>
      </w:r>
    </w:p>
    <w:p>
      <w:r>
        <w:rPr>
          <w:i/>
          <w:color w:val="666666"/>
          <w:sz w:val="18"/>
        </w:rPr>
        <w:t>Zhou MM et al.  ·  Front Public Health  ·  09.09.2026  ·  PMID 42780304</w:t>
      </w:r>
    </w:p>
    <w:p>
      <w:r>
        <w:t>Retrospektive Entwicklung und interne Validierung eines nomographischen Vorhersagemodells für 12-Monatsereignisse (ungeplante Hospitalisierung, ≥2 Notfallbesuche, funktionaler Niedergang, Mortalität) bei 690 älteren Erwachsenen (≥60 J.) mit Mehrfacherkrankung in China; 7 Prädiktoren identifiziert.</w:t>
      </w:r>
    </w:p>
    <w:p>
      <w:r>
        <w:rPr>
          <w:b/>
        </w:rPr>
        <w:t xml:space="preserve">Ergebnis: </w:t>
      </w:r>
      <w:r>
        <w:t>Modell zeigte gute Diskriminierung (AUC 0,847 Derivation, 0,831 bootstrap-validiert, 0,819 temporal); 41,2 % niedrig-, 42,0 % intermediär-, 16,8 % hochrisiko. Die hochrisiko-Gruppe (16,8 %) machte 41,1 % aller Ereignisse aus. Szenaroanalyse: modellgesteuerte Stratifizierung könnte Adverse Events um 25,3 % reduzieren.</w:t>
      </w:r>
    </w:p>
    <w:p>
      <w:r>
        <w:rPr>
          <w:b/>
          <w:sz w:val="19"/>
        </w:rPr>
        <w:t xml:space="preserve">Übertragbarkeit: </w:t>
      </w:r>
      <w:r>
        <w:rPr>
          <w:sz w:val="19"/>
        </w:rPr>
        <w:t>China, tertiäre Klinik; externe Validierung in primärer/sekundärer Versorgung erforderlich; Risiko-Alert und Monitoring-Stratifizierung übertragbar</w:t>
      </w:r>
    </w:p>
    <w:p>
      <w:r>
        <w:rPr>
          <w:color w:val="5A7D3A"/>
          <w:sz w:val="18"/>
        </w:rPr>
        <w:t>https://pubmed.ncbi.nlm.nih.gov/42780304/</w:t>
      </w:r>
    </w:p>
    <w:p>
      <w:pPr>
        <w:pStyle w:val="Heading2"/>
      </w:pPr>
      <w:r>
        <w:t>Triglycerid-Glucose-Waist-to-Height-Ratio vorhersagt neu auftretende Mehrfacherkrankung</w:t>
      </w:r>
    </w:p>
    <w:p>
      <w:r>
        <w:rPr>
          <w:i/>
          <w:color w:val="666666"/>
          <w:sz w:val="18"/>
        </w:rPr>
        <w:t>Shao Z et al.  ·  Cardiovasc Diabetol  ·  24.08.2026  ·  PMID 42778926</w:t>
      </w:r>
    </w:p>
    <w:p>
      <w:r>
        <w:t>Prospektive Kohortenanalyse von 4 nationalen Studien (CHARLS, ELSA, HRS, NHANES): TyG-WHtR (kombiniert Insulinresistenz und zentrale Adipositas) zeigte nichtlineare Dosis-Wirkungs-Assoziationen mit neuer Mehrfacherkrankung; Inflexionspunkte bei 5,92–6,69 je Kohorte.</w:t>
      </w:r>
    </w:p>
    <w:p>
      <w:r>
        <w:rPr>
          <w:b/>
        </w:rPr>
        <w:t xml:space="preserve">Ergebnis: </w:t>
      </w:r>
      <w:r>
        <w:t>Höchste vs. niedrigste TyG-WHtR-Quartile assoziiert mit incident multimorbidity: HR 1,87 (95% CI 1,59–2,21) in CHARLS, 1,67 (1,30–2,15) in ELSA, 1,57 (1,08–2,29) in HRS; TyG-WHtR hatte größte AUC in beiden Querschnittsstichproben und zwei Längsschnittkohorten.</w:t>
      </w:r>
    </w:p>
    <w:p>
      <w:r>
        <w:rPr>
          <w:b/>
          <w:sz w:val="19"/>
        </w:rPr>
        <w:t xml:space="preserve">Übertragbarkeit: </w:t>
      </w:r>
      <w:r>
        <w:rPr>
          <w:sz w:val="19"/>
        </w:rPr>
        <w:t>China, England, USA; Mehrfacherkrankung ist Regelfall; provisorischer Risiko-Alert ca. 5–7 benötigt externe Validierung</w:t>
      </w:r>
    </w:p>
    <w:p>
      <w:r>
        <w:rPr>
          <w:color w:val="5A7D3A"/>
          <w:sz w:val="18"/>
        </w:rPr>
        <w:t>https://pubmed.ncbi.nlm.nih.gov/42778926/</w:t>
      </w:r>
    </w:p>
    <w:p>
      <w:pPr>
        <w:pStyle w:val="Heading2"/>
      </w:pPr>
      <w:r>
        <w:t>Rauchen und chronische Erkrankungen: Versorgungsungleichheit bei vulnerablen Populationen</w:t>
      </w:r>
    </w:p>
    <w:p>
      <w:r>
        <w:rPr>
          <w:i/>
          <w:color w:val="666666"/>
          <w:sz w:val="18"/>
        </w:rPr>
        <w:t>Higgins ST  ·  Prev Med  ·  25.10.2025  ·  PMID 42777124</w:t>
      </w:r>
    </w:p>
    <w:p>
      <w:r>
        <w:t>Editorischer Überblick zu 13 Fachabhandlungen einer US-Konferenz 2024 über Schnittstellen zwischen Tabakgebrauch, anderen Süchten, chronischen Krankheiten und Gesundheitsungleichheiten; Rauchen bleibt führende vermeidbare Todesursache in den USA (ca. 450.000 Tote/Jahr).</w:t>
      </w:r>
    </w:p>
    <w:p>
      <w:r>
        <w:rPr>
          <w:b/>
        </w:rPr>
        <w:t xml:space="preserve">Ergebnis: </w:t>
      </w:r>
      <w:r>
        <w:t>Die Sonderausgabe zeigt überproportionale Auswirkungen von Rauchen in vulnerablen Populationen, Verflechtungen mit weiteren Abhängigkeiten, Mehrfacherkrankungen und Gesundheitsungleichheiten; dokumentiert klinische und regulatorische Interventionen zur Reduktion und Prävention assoziierter Gesundheitsschäden.</w:t>
      </w:r>
    </w:p>
    <w:p>
      <w:r>
        <w:rPr>
          <w:b/>
          <w:sz w:val="19"/>
        </w:rPr>
        <w:t xml:space="preserve">Übertragbarkeit: </w:t>
      </w:r>
      <w:r>
        <w:rPr>
          <w:sz w:val="19"/>
        </w:rPr>
        <w:t>USA; regulatorische und klinische Strategien sind teilweise übertragbar, strukturelle Unterschiede erheblich</w:t>
      </w:r>
    </w:p>
    <w:p>
      <w:r>
        <w:rPr>
          <w:color w:val="5A7D3A"/>
          <w:sz w:val="18"/>
        </w:rPr>
        <w:t>https://pubmed.ncbi.nlm.nih.gov/42777124/</w:t>
      </w:r>
    </w:p>
    <w:p>
      <w:pPr>
        <w:pStyle w:val="Heading2"/>
      </w:pPr>
      <w:r>
        <w:t>Physiotherapie in der Territorialversorgung verbessert Kontinuität chronischer Erkrankungen</w:t>
      </w:r>
    </w:p>
    <w:p>
      <w:r>
        <w:rPr>
          <w:i/>
          <w:color w:val="666666"/>
          <w:sz w:val="18"/>
        </w:rPr>
        <w:t>Piacenza A et al.  ·  Ig Sanita Pubbl  ·  Juli 2026  ·  PMID 42776156</w:t>
      </w:r>
    </w:p>
    <w:p>
      <w:r>
        <w:t>Narrative Analyse zur Neugestaltung italienischer Rehabilitationspfade: Das Ministerialekret 77/2022 verlangt mehr direkte Verantwortung von Physiotherapeuten für Kontinuität, während bisherige Vorschriften fragmentierte Übergänge erzwingen; Pilotprojekte zeigen Machbarkeit und positive Effekte auf funktionelle Erholung und Ressourcennutzung.</w:t>
      </w:r>
    </w:p>
    <w:p>
      <w:r>
        <w:rPr>
          <w:b/>
        </w:rPr>
        <w:t xml:space="preserve">Ergebnis: </w:t>
      </w:r>
      <w:r>
        <w:t>Internationale Modelle und italienische Pilotprojekte belegen, dass physiotherapeutengeleitete Bewertung und Monitoring sowie einheitliche, zeitlich aktualisierte Rehabilitationsprojekte die Patientenzufriedenheit erhöhen und die Ressourcenallokation verbessern – die fragmentierte Regelpraxis führt zu verzögertem Therapiestart und unzureichender Physiotherapie-Integration.</w:t>
      </w:r>
    </w:p>
    <w:p>
      <w:r>
        <w:rPr>
          <w:b/>
          <w:sz w:val="19"/>
        </w:rPr>
        <w:t xml:space="preserve">Übertragbarkeit: </w:t>
      </w:r>
      <w:r>
        <w:rPr>
          <w:sz w:val="19"/>
        </w:rPr>
        <w:t>Italien, vergleichbares Sozialversicherungssystem; Implementierung an Versorgungsstruktur und Regulierung gebunden</w:t>
      </w:r>
    </w:p>
    <w:p>
      <w:r>
        <w:rPr>
          <w:color w:val="5A7D3A"/>
          <w:sz w:val="18"/>
        </w:rPr>
        <w:t>https://pubmed.ncbi.nlm.nih.gov/42776156/</w:t>
      </w:r>
    </w:p>
    <w:p>
      <w:pPr>
        <w:pStyle w:val="Heading1"/>
      </w:pPr>
      <w:r>
        <w:t>Aufgenommen am 24.09.2026</w:t>
      </w:r>
    </w:p>
    <w:p>
      <w:pPr>
        <w:pStyle w:val="Heading2"/>
      </w:pPr>
      <w:r>
        <w:t>Früher systemischer Lupus erythematosus: Fast-Track zu Mehrfacherkrankung bei hoher Flareaktivität</w:t>
      </w:r>
    </w:p>
    <w:p>
      <w:r>
        <w:rPr>
          <w:i/>
          <w:color w:val="666666"/>
          <w:sz w:val="18"/>
        </w:rPr>
        <w:t>Nikoloudaki M et al.  ·  RMD Open  ·  23.09.2026  ·  PMID 42778333</w:t>
      </w:r>
    </w:p>
    <w:p>
      <w:r>
        <w:t>Inception-Kohorte von 311 SLE-Patienten mit ≤2 Jahren Erkrankungsdauer und 5-jähriger Nachbeobachtung untersuchte Trajektorien der Mehrfacherkrankungsentwicklung und deren Prädiktoren.</w:t>
      </w:r>
    </w:p>
    <w:p>
      <w:r>
        <w:rPr>
          <w:b/>
        </w:rPr>
        <w:t xml:space="preserve">Ergebnis: </w:t>
      </w:r>
      <w:r>
        <w:t>45% der Patienten zeigte accelerierte Mehrfacherkrankungszunahme mit drei Phänotypen: metabolisch-psychiatrisch (65,7% mit ≥2 Erkrankungen) und kardiopulmonal-muskuloskelettal (100%). Schwere Flares (≥20% der Zeit; OR 2,10) und Glukokortikoidexposition (OR 1,06 pro 10 mg/Tag) während der ersten 24 Monate waren unabhängig mit schneller Progression assoziiert. Fast-accruer zeigten weniger Remission und mehr Schäden (IRR 2,28–3,27).</w:t>
      </w:r>
    </w:p>
    <w:p>
      <w:r>
        <w:rPr>
          <w:b/>
          <w:sz w:val="19"/>
        </w:rPr>
        <w:t xml:space="preserve">Übertragbarkeit: </w:t>
      </w:r>
      <w:r>
        <w:rPr>
          <w:sz w:val="19"/>
        </w:rPr>
        <w:t>Griechenland und Italien, europäische Universitätskliniken, vergleichbare SLE-Versorgungsstandards</w:t>
      </w:r>
    </w:p>
    <w:p>
      <w:r>
        <w:rPr>
          <w:color w:val="5A7D3A"/>
          <w:sz w:val="18"/>
        </w:rPr>
        <w:t>https://pubmed.ncbi.nlm.nih.gov/42778333/</w:t>
      </w:r>
    </w:p>
    <w:p>
      <w:pPr>
        <w:pStyle w:val="Heading2"/>
      </w:pPr>
      <w:r>
        <w:t>CAT-Score-Variabilität vorhersagt COPD-Exazerbationen in virtueller Assistenz-Überwachung</w:t>
      </w:r>
    </w:p>
    <w:p>
      <w:r>
        <w:rPr>
          <w:i/>
          <w:color w:val="666666"/>
          <w:sz w:val="18"/>
        </w:rPr>
        <w:t>Aljama C et al.  ·  Adv Respir Med  ·  07.09.2026  ·  PMID 42776698</w:t>
      </w:r>
    </w:p>
    <w:p>
      <w:r>
        <w:t>Prospektive Beobachtungsstudie mit 106 COPD-Patienten mit Exazerbator-Phänotyp nutzte wöchentliche CAT-Messungen durch virtuellen Assistenten zur Vorhersage von Exazerbationen über ein Jahr.</w:t>
      </w:r>
    </w:p>
    <w:p>
      <w:r>
        <w:rPr>
          <w:b/>
        </w:rPr>
        <w:t xml:space="preserve">Ergebnis: </w:t>
      </w:r>
      <w:r>
        <w:t>73 von 106 Patienten (69%) erlitten ≥1 Exazerbation (192 Episoden, 26% mit Hospitalisierung). Jeder 1-Punkt-Anstieg im CAT-Score war mit 11,1% erhöhtem Exazerbationsrisiko assoziiert (OR 1,11; 95%-KI 1,08–1,13). Wöchentliche Variabilität ≥2 Punkte (MCID) war mit sechsfach erhöhtem Risiko verbunden (OR 6,30; 95%-KI 4,28–9,27). Optimaler Cut-off für CAT-Änderung: 3 Punkte (ROC 0,773).</w:t>
      </w:r>
    </w:p>
    <w:p>
      <w:r>
        <w:rPr>
          <w:b/>
          <w:sz w:val="19"/>
        </w:rPr>
        <w:t xml:space="preserve">Übertragbarkeit: </w:t>
      </w:r>
      <w:r>
        <w:rPr>
          <w:sz w:val="19"/>
        </w:rPr>
        <w:t>Spanien/Brasilien, aber App-basiert; Übertragbarkeit auf deutsche Telemedizin-Strukturen bedingt</w:t>
      </w:r>
    </w:p>
    <w:p>
      <w:r>
        <w:rPr>
          <w:color w:val="5A7D3A"/>
          <w:sz w:val="18"/>
        </w:rPr>
        <w:t>https://pubmed.ncbi.nlm.nih.gov/42776698/</w:t>
      </w:r>
    </w:p>
    <w:p>
      <w:pPr>
        <w:pStyle w:val="Heading2"/>
      </w:pPr>
      <w:r>
        <w:t>Netzwerk-Metaanalyse: GLP-1RA, SGLT2i und nsMRA für kardiorenale Outcomes bei Typ-2-Diabetes mit CKD</w:t>
      </w:r>
    </w:p>
    <w:p>
      <w:r>
        <w:rPr>
          <w:i/>
          <w:color w:val="666666"/>
          <w:sz w:val="18"/>
        </w:rPr>
        <w:t>Chen H et al.  ·  Front Endocrinol (Lausanne)  ·  08.09.2026  ·  PMID 42775225</w:t>
      </w:r>
    </w:p>
    <w:p>
      <w:r>
        <w:t>Systematische Übersicht und frequentistische Netzwerk-Metaanalyse von 21 RCTs mit 51.899 Patienten verglich kardiorenale Effektivität und Sicherheit von GLP-1RAs, SGLT2i und nsMRAs.</w:t>
      </w:r>
    </w:p>
    <w:p>
      <w:r>
        <w:rPr>
          <w:b/>
        </w:rPr>
        <w:t xml:space="preserve">Ergebnis: </w:t>
      </w:r>
      <w:r>
        <w:t>Versus Placebo: SGLT2i reduzierten Risiko von MACE, majorem Nieren-Komposit und Herzinsuffizienz-Hospitalisierung; GLP-1RAs reduzierten MACE, Nieren-Komposit, Herzinsuffizienz, Mortalität und kardiovaskulärer Tod; nsMRA reduzierten Nieren-Komposit und Herzinsuffizienz. Indirekte Vergleiche: SGLT2i günstiger für Nieren (RR 0,77 vs GLP-1RA), SGLT2i günstiger für Herzinsuffizienz versus nsMRA. Hyperkalämie mit nsMRA häufiger.</w:t>
      </w:r>
    </w:p>
    <w:p>
      <w:r>
        <w:rPr>
          <w:b/>
          <w:sz w:val="19"/>
        </w:rPr>
        <w:t xml:space="preserve">Übertragbarkeit: </w:t>
      </w:r>
      <w:r>
        <w:rPr>
          <w:sz w:val="19"/>
        </w:rPr>
        <w:t>Globale RCT-Evidenz, aber keine deutschen Subgruppen; Übertragbarkeit für DMP-Strukturen hoch</w:t>
      </w:r>
    </w:p>
    <w:p>
      <w:r>
        <w:rPr>
          <w:color w:val="5A7D3A"/>
          <w:sz w:val="18"/>
        </w:rPr>
        <w:t>https://pubmed.ncbi.nlm.nih.gov/42775225/</w:t>
      </w:r>
    </w:p>
    <w:p>
      <w:pPr>
        <w:pStyle w:val="Heading2"/>
      </w:pPr>
      <w:r>
        <w:t>Kindheitliche Benachteiligung erhöht Risiko für Behinderung und Mehrfacherkrankung im Alter</w:t>
      </w:r>
    </w:p>
    <w:p>
      <w:r>
        <w:rPr>
          <w:i/>
          <w:color w:val="666666"/>
          <w:sz w:val="18"/>
        </w:rPr>
        <w:t>Zhou T et al.  ·  Front Public Health  ·  08.09.2026  ·  PMID 42774187</w:t>
      </w:r>
    </w:p>
    <w:p>
      <w:r>
        <w:t>Prospektive Analyse von Daten aus ELSA und SHARE-Kohorten untersuchte, ob Armut und gesundheitliche Belastungen in der Kindheit das Risiko für Behinderung und Mehrfacherkrankung im späteren Leben vorhersagen.</w:t>
      </w:r>
    </w:p>
    <w:p>
      <w:r>
        <w:rPr>
          <w:b/>
        </w:rPr>
        <w:t xml:space="preserve">Ergebnis: </w:t>
      </w:r>
      <w:r>
        <w:t>Höchste Kindheitsadversität war mit erhöhtem Risiko für Aktivitätsbeschränkungen (HR 1,43; 95%-KI 1,09–1,87) und Mehrfacherkrankung (HR 1,35; 95%-KI 1,02–1,80) assoziiert. In SHARE erhöhte sich das Risiko für Aktivitätsbeschränkungen und Mehrfacherkrankung ebenfalls signifikant. Die Befunde zeigen anhaltende Auswirkungen früher Nachteiligung auf die Gesundheit im Alter.</w:t>
      </w:r>
    </w:p>
    <w:p>
      <w:r>
        <w:rPr>
          <w:b/>
          <w:sz w:val="19"/>
        </w:rPr>
        <w:t xml:space="preserve">Übertragbarkeit: </w:t>
      </w:r>
      <w:r>
        <w:rPr>
          <w:sz w:val="19"/>
        </w:rPr>
        <w:t>Großbritannien und Europa, vergleichbare Langzeitkohortendesigns</w:t>
      </w:r>
    </w:p>
    <w:p>
      <w:r>
        <w:rPr>
          <w:color w:val="5A7D3A"/>
          <w:sz w:val="18"/>
        </w:rPr>
        <w:t>https://pubmed.ncbi.nlm.nih.gov/42774187/</w:t>
      </w:r>
    </w:p>
    <w:p>
      <w:pPr>
        <w:pStyle w:val="Heading2"/>
      </w:pPr>
      <w:r>
        <w:t>Chronische spontane Urtikaria in Finnland: Versorgungslücken in Behandlung und Monitoring</w:t>
      </w:r>
    </w:p>
    <w:p>
      <w:r>
        <w:rPr>
          <w:i/>
          <w:color w:val="666666"/>
          <w:sz w:val="18"/>
        </w:rPr>
        <w:t>Sinikumpu SP et al.  ·  Acta Derm Venereol  ·  22.09.2026  ·  PMID 42770913</w:t>
      </w:r>
    </w:p>
    <w:p>
      <w:r>
        <w:t>Landesweite Registerstudie analysierte Epidemiologie und Behandlungsmuster von chronischer spontaner Urtikaria in finnischen Fachkliniken 2001–2023.</w:t>
      </w:r>
    </w:p>
    <w:p>
      <w:r>
        <w:rPr>
          <w:b/>
        </w:rPr>
        <w:t xml:space="preserve">Ergebnis: </w:t>
      </w:r>
      <w:r>
        <w:t>Unter 8.784 Patienten erhielten 85,8% Antihistaminika und 36,1% benötigten gleichzeitig Kortikosteroide, was auf suboptimale Kontrolle hindeutet. Nur 8,5% erhielten Omalizumab, Median 9 Monate nach Antihistamininitiation. Hochkomorbidität mit Asthma, Hypertonie und Depression. Die Befunde deuten auf Verzögerungen in der Eskalation zur biologischen Therapie und mangelnde Krankheitskontrolle hin.</w:t>
      </w:r>
    </w:p>
    <w:p>
      <w:r>
        <w:rPr>
          <w:b/>
          <w:sz w:val="19"/>
        </w:rPr>
        <w:t xml:space="preserve">Übertragbarkeit: </w:t>
      </w:r>
      <w:r>
        <w:rPr>
          <w:sz w:val="19"/>
        </w:rPr>
        <w:t>Finnland, nordisches Gesundheitssystem, vergleichbare Vergütungsstrukturen</w:t>
      </w:r>
    </w:p>
    <w:p>
      <w:r>
        <w:rPr>
          <w:color w:val="5A7D3A"/>
          <w:sz w:val="18"/>
        </w:rPr>
        <w:t>https://pubmed.ncbi.nlm.nih.gov/42770913/</w:t>
      </w:r>
    </w:p>
    <w:p>
      <w:pPr>
        <w:pStyle w:val="Heading2"/>
      </w:pPr>
      <w:r>
        <w:t>Rehabilitation bei älteren Patienten mit COPD und Post-COVID-Syndrom in Kirgistan zeigte Unterschiede nach Region</w:t>
      </w:r>
    </w:p>
    <w:p>
      <w:r>
        <w:rPr>
          <w:i/>
          <w:color w:val="666666"/>
          <w:sz w:val="18"/>
        </w:rPr>
        <w:t>Zhorobekova M et al.  ·  Georgian Med News  ·  Mai 2026  ·  PMID 42600600</w:t>
      </w:r>
    </w:p>
    <w:p>
      <w:r>
        <w:t>Gemischte Methoden-Studie untersuchte medizinische und soziale Rehabilitation von älteren Patienten mit COPD und/oder Post-COVID-Syndrom in urbanen versus hochalpinen Regionen Kirgistans.</w:t>
      </w:r>
    </w:p>
    <w:p>
      <w:r>
        <w:rPr>
          <w:b/>
        </w:rPr>
        <w:t xml:space="preserve">Ergebnis: </w:t>
      </w:r>
      <w:r>
        <w:t>Patienten mit beiden Erkrankungen zeigten höchste Inflammationsmarker und stärkste Lungenfunktionseinschränkung (FEV1 48,5% Soll). In hochalpinen Gebieten niedrigere Sauerstoffsättigung und höhere Fatigue durch chronische Hypoxie. Rehabilitationsergebnisse besser in urbanen Gebieten mit besserer Infrastruktur und Sauerstofftherapie-Zugang. Die Studie unterstreicht Bedeutung adaptierter, regionalisierter Rehabilitationsstrategien.</w:t>
      </w:r>
    </w:p>
    <w:p>
      <w:r>
        <w:rPr>
          <w:b/>
          <w:sz w:val="19"/>
        </w:rPr>
        <w:t xml:space="preserve">Übertragbarkeit: </w:t>
      </w:r>
      <w:r>
        <w:rPr>
          <w:sz w:val="19"/>
        </w:rPr>
        <w:t>Zentralasien, limitierte Ressourcenlage, zeigt Notwendigkeit dezentraler Versorgungsmodelle</w:t>
      </w:r>
    </w:p>
    <w:p>
      <w:r>
        <w:rPr>
          <w:color w:val="5A7D3A"/>
          <w:sz w:val="18"/>
        </w:rPr>
        <w:t>https://pubmed.ncbi.nlm.nih.gov/42600600/</w:t>
      </w:r>
    </w:p>
    <w:p>
      <w:pPr>
        <w:pStyle w:val="Heading1"/>
      </w:pPr>
      <w:r>
        <w:t>Aufgenommen am 23.09.2026</w:t>
      </w:r>
    </w:p>
    <w:p>
      <w:pPr>
        <w:pStyle w:val="Heading2"/>
      </w:pPr>
      <w:r>
        <w:t>Ultra-verarbeitete Lebensmittel erhöhen Risiko für Mehrfacherkrankungen: Dose-Wirkungs-Analyse mit 8,8 Millionen Teilnehmern</w:t>
      </w:r>
    </w:p>
    <w:p>
      <w:r>
        <w:rPr>
          <w:i/>
          <w:color w:val="666666"/>
          <w:sz w:val="18"/>
        </w:rPr>
        <w:t>Liu X et al.  ·  Fam Med Community Health  ·  22.09.2026  ·  PMID 42773062</w:t>
      </w:r>
    </w:p>
    <w:p>
      <w:r>
        <w:t>Dosisabhängige Metaanalyse von 51 prospektiven Kohortenstudien (n=8.819.894 Erwachsene) untersuchte Assoziation zwischen Ultra-Verarbeitete-Lebensmittel-Konsum und Krankheitslast chronischer nicht-übertragbarer Erkrankungen.</w:t>
      </w:r>
    </w:p>
    <w:p>
      <w:r>
        <w:rPr>
          <w:b/>
        </w:rPr>
        <w:t xml:space="preserve">Ergebnis: </w:t>
      </w:r>
      <w:r>
        <w:t>Erhöhter Ultra-Verarbeitete-Lebensmittel-Konsum assoziiert mit kardiovaskulären Ereignissen (HR 1,24, 95% KI 1,14–1,36), Krebs (HR 1,12, 95% KI 1,04–1,21), Adipositas (HR 1,23), metabolisches Syndrom/Diabetes (HR 1,24), Depression/Angst (HR 1,27), Verdauungserkrankungen (HR 1,31) und Mortalität (HR 1,18). Pro 100 g/Tag: Kardiovaskulär HR 1,14, Krebs HR 1,04, Mortalität HR 1,03.</w:t>
      </w:r>
    </w:p>
    <w:p>
      <w:r>
        <w:rPr>
          <w:b/>
          <w:sz w:val="19"/>
        </w:rPr>
        <w:t xml:space="preserve">Übertragbarkeit: </w:t>
      </w:r>
      <w:r>
        <w:rPr>
          <w:sz w:val="19"/>
        </w:rPr>
        <w:t>Bevölkerungsstudien aus LMIC und Hocheinkommensländern; Ernährungsprävention universell anwendbar.</w:t>
      </w:r>
    </w:p>
    <w:p>
      <w:r>
        <w:rPr>
          <w:color w:val="5A7D3A"/>
          <w:sz w:val="18"/>
        </w:rPr>
        <w:t>https://pubmed.ncbi.nlm.nih.gov/42773062/</w:t>
      </w:r>
    </w:p>
    <w:p>
      <w:pPr>
        <w:pStyle w:val="Heading2"/>
      </w:pPr>
      <w:r>
        <w:t>Hepatitis-C-Versorgungslücken bei australischen First Nations: Weg zur Elimination bis 2030</w:t>
      </w:r>
    </w:p>
    <w:p>
      <w:r>
        <w:rPr>
          <w:i/>
          <w:color w:val="666666"/>
          <w:sz w:val="18"/>
        </w:rPr>
        <w:t>Ward J et al.  ·  Med J Aust  ·  Sept. 2026  ·  PMID 42772855</w:t>
      </w:r>
    </w:p>
    <w:p>
      <w:r>
        <w:t>Analyse der Hepatitis-C-Versorgung unter australischen First Nations zeigte, dass diese Bevölkerung überproportional betroffen ist (18% der chronischen Fälle bei 4% der Bevölkerung), aber langsamere Therapieaufnahme hat als nicht-indigene Australier.</w:t>
      </w:r>
    </w:p>
    <w:p>
      <w:r>
        <w:rPr>
          <w:b/>
        </w:rPr>
        <w:t xml:space="preserve">Ergebnis: </w:t>
      </w:r>
      <w:r>
        <w:t>First Nations Australians haben trotz Überrepräsentation mit 18% der chronischen Hepatitis-C-Fälle langsamere Aufnahme von Direct-Acting-Antiviral-Therapie als nicht-indigene Australier. Erreichung der nationalen Eliminationsziele bis 2030 erfordert Strategien mit Equity-Framework zur Schließung von Versorgungslücken.</w:t>
      </w:r>
    </w:p>
    <w:p>
      <w:r>
        <w:rPr>
          <w:b/>
          <w:sz w:val="19"/>
        </w:rPr>
        <w:t xml:space="preserve">Übertragbarkeit: </w:t>
      </w:r>
      <w:r>
        <w:rPr>
          <w:sz w:val="19"/>
        </w:rPr>
        <w:t>Australien, vergleichbare Inequity-Strukturen; zeigt Versorgungsbarrieren für marginalisierte Gruppen.</w:t>
      </w:r>
    </w:p>
    <w:p>
      <w:r>
        <w:rPr>
          <w:color w:val="5A7D3A"/>
          <w:sz w:val="18"/>
        </w:rPr>
        <w:t>https://pubmed.ncbi.nlm.nih.gov/42772855/</w:t>
      </w:r>
    </w:p>
    <w:p>
      <w:pPr>
        <w:pStyle w:val="Heading2"/>
      </w:pPr>
      <w:r>
        <w:t>Physiotherapie-Assistenten erhöhten Mobilisierungsfrequenz bei älteren Patienten mit Mehrfacherkrankungen im Krankenhaus</w:t>
      </w:r>
    </w:p>
    <w:p>
      <w:r>
        <w:rPr>
          <w:i/>
          <w:color w:val="666666"/>
          <w:sz w:val="18"/>
        </w:rPr>
        <w:t>Snowdon DA et al.  ·  Age Ageing  ·  04.09.2026  ·  PMID 42771780</w:t>
      </w:r>
    </w:p>
    <w:p>
      <w:r>
        <w:t>Machbarkeitsstudie (n=61, mittleres Alter 77 Jahre) untersuchte, ob Physio-Assistenten unter Supervision von Physiotherapeuten die Mobilisierungsintensität bei hospitalisierten älteren Patienten mit Mehrfacherkrankungen erhöhen können.</w:t>
      </w:r>
    </w:p>
    <w:p>
      <w:r>
        <w:rPr>
          <w:b/>
        </w:rPr>
        <w:t xml:space="preserve">Ergebnis: </w:t>
      </w:r>
      <w:r>
        <w:t>Patienten mit Physio-Assistent erhielten durchschnittlich 12 Minuten mehr Therapie pro Tag als Physiotherapie-Gruppe (95% KI 6–17). Patienten mit Assistent liefen häufiger (66% vs. 59% der Tage), mittlere Hospitalisierungsdauer war 3 Tage kürzer, akute Kosten $1.425 niedriger. Unerwünschte Ereignisse waren vergleichbar.</w:t>
      </w:r>
    </w:p>
    <w:p>
      <w:r>
        <w:rPr>
          <w:b/>
          <w:sz w:val="19"/>
        </w:rPr>
        <w:t xml:space="preserve">Übertragbarkeit: </w:t>
      </w:r>
      <w:r>
        <w:rPr>
          <w:sz w:val="19"/>
        </w:rPr>
        <w:t>Australien, stationäre Struktur; übertragbar auf Akutkrankenhäuser mit multiprofessionellen Teams.</w:t>
      </w:r>
    </w:p>
    <w:p>
      <w:r>
        <w:rPr>
          <w:color w:val="5A7D3A"/>
          <w:sz w:val="18"/>
        </w:rPr>
        <w:t>https://pubmed.ncbi.nlm.nih.gov/42771780/</w:t>
      </w:r>
    </w:p>
    <w:p>
      <w:pPr>
        <w:pStyle w:val="Heading2"/>
      </w:pPr>
      <w:r>
        <w:t>Melatonin zeigte Trend zur Reduktion COPD-bedingter Krankenhausaufnahmen, aber nicht zur Rauchentwöhnung</w:t>
      </w:r>
    </w:p>
    <w:p>
      <w:r>
        <w:rPr>
          <w:i/>
          <w:color w:val="666666"/>
          <w:sz w:val="18"/>
        </w:rPr>
        <w:t>Gholinataj Jelodar M et al.  ·  Can Respir J  ·  2026  ·  PMID 42770942</w:t>
      </w:r>
    </w:p>
    <w:p>
      <w:r>
        <w:t>Randomisierte, dreifach verblindete Studie (n=60 männliche COPD-Patienten mit Rauchen) untersuchte über 180 Tage, ob Melatonin (5 mg) Nikotinabhängigkeit und COPD-Exazerbationen reduziert.</w:t>
      </w:r>
    </w:p>
    <w:p>
      <w:r>
        <w:rPr>
          <w:b/>
        </w:rPr>
        <w:t xml:space="preserve">Ergebnis: </w:t>
      </w:r>
      <w:r>
        <w:t>Beide Gruppen zeigten Reduktion der Zigarettenkonsum und Verbesserung psychologischer Scores ohne signifikante Gruppenunterschiede. COPD-Exazerbations-Hospitalisierungen waren im Melatonin-Arm numerisch niedriger (4% vs. 24%, Placebo), aber nicht statistisch signifikant. Melatonin hatte keinen Effekt auf Rauchentwöhnung oder psychische Outcomes.</w:t>
      </w:r>
    </w:p>
    <w:p>
      <w:r>
        <w:rPr>
          <w:b/>
          <w:sz w:val="19"/>
        </w:rPr>
        <w:t xml:space="preserve">Übertragbarkeit: </w:t>
      </w:r>
      <w:r>
        <w:rPr>
          <w:sz w:val="19"/>
        </w:rPr>
        <w:t>Iran; begrenzte Anwendbarkeit; exploratorischer Befund bedarf größerer, adequat gepowerter Studien.</w:t>
      </w:r>
    </w:p>
    <w:p>
      <w:r>
        <w:rPr>
          <w:color w:val="5A7D3A"/>
          <w:sz w:val="18"/>
        </w:rPr>
        <w:t>https://pubmed.ncbi.nlm.nih.gov/42770942/</w:t>
      </w:r>
    </w:p>
    <w:p>
      <w:pPr>
        <w:pStyle w:val="Heading2"/>
      </w:pPr>
      <w:r>
        <w:t>Qualitätsverbesserung bei COPD-Patienten mit hohem Risiko: Lektionen aus dem CONQUEST-Programm</w:t>
      </w:r>
    </w:p>
    <w:p>
      <w:r>
        <w:rPr>
          <w:i/>
          <w:color w:val="666666"/>
          <w:sz w:val="18"/>
        </w:rPr>
        <w:t>Halpin DMG et al.  ·  Prim Health Care Res Dev  ·  22.09.2026  ·  PMID 42770200</w:t>
      </w:r>
    </w:p>
    <w:p>
      <w:r>
        <w:t>Das CONQUEST-Programm identifizierte COPD-Patienten mit hohem Komplikationsrisiko in der britischen Primärversorgung und optimierte deren Management durch strukturierte Versorgungspfade mit Datenüberwachung und ressourcenplanung.</w:t>
      </w:r>
    </w:p>
    <w:p>
      <w:r>
        <w:rPr>
          <w:b/>
        </w:rPr>
        <w:t xml:space="preserve">Ergebnis: </w:t>
      </w:r>
      <w:r>
        <w:t>Das Programm identifizierte COPD-Patienten mit erhöhtem Risiko für unerwünschte Ereignisse bei geringer Patientenzahl pro Praxis erfolgreich. Schlüssellektionen: Qualitätverbesserungsprogramme müssen flexibel für lokale Kontexte adaptierbar sein, frühzeitige Datenüberwachung ermöglicht effiziente Problemlösung, und ressourcenplanung ist für die praktische Umsetzung unerlässlich.</w:t>
      </w:r>
    </w:p>
    <w:p>
      <w:r>
        <w:rPr>
          <w:b/>
          <w:sz w:val="19"/>
        </w:rPr>
        <w:t xml:space="preserve">Übertragbarkeit: </w:t>
      </w:r>
      <w:r>
        <w:rPr>
          <w:sz w:val="19"/>
        </w:rPr>
        <w:t>UK-Primärversorgung mit Case-Management-Struktur; transferierbar auf deutsche Hausarztpraxen mit DMP-Koordination.</w:t>
      </w:r>
    </w:p>
    <w:p>
      <w:r>
        <w:rPr>
          <w:color w:val="5A7D3A"/>
          <w:sz w:val="18"/>
        </w:rPr>
        <w:t>https://pubmed.ncbi.nlm.nih.gov/42770200/</w:t>
      </w:r>
    </w:p>
    <w:p>
      <w:pPr>
        <w:pStyle w:val="Heading2"/>
      </w:pPr>
      <w:r>
        <w:t>Exergaming verbesserte Balance und Gehfunktion bei älteren Patienten mit chronischen Erkrankungen</w:t>
      </w:r>
    </w:p>
    <w:p>
      <w:r>
        <w:rPr>
          <w:i/>
          <w:color w:val="666666"/>
          <w:sz w:val="18"/>
        </w:rPr>
        <w:t>Ge B et al.  ·  Front Public Health  ·  07.09.2026  ·  PMID 42769539</w:t>
      </w:r>
    </w:p>
    <w:p>
      <w:r>
        <w:t>Systematische Übersichtsarbeit mit Metaanalyse von 11 RCTs (n=älter Erwachsene ≥60 Jahre mit chronischen Erkrankungen in der Gemeinde) untersuchte Effekte von Exergaming auf Balance und funktionale Mobilität.</w:t>
      </w:r>
    </w:p>
    <w:p>
      <w:r>
        <w:rPr>
          <w:b/>
        </w:rPr>
        <w:t xml:space="preserve">Ergebnis: </w:t>
      </w:r>
      <w:r>
        <w:t>Exergaming verbesserte signifikant Balance (gemessen Berg Balance Scale, MD=2,93, 95% KI 0,44–5,41, p=0,021) und dynamische Gehfähigkeit (Dynamic Gait Index, MD=0,72, 95% KI 0,09–1,35, p=0,025). Größere Vorteile bei ≥8 Wochen Dauer und überwachtem Training. Heterogenität niedrig bis moderat.</w:t>
      </w:r>
    </w:p>
    <w:p>
      <w:r>
        <w:rPr>
          <w:b/>
          <w:sz w:val="19"/>
        </w:rPr>
        <w:t xml:space="preserve">Übertragbarkeit: </w:t>
      </w:r>
      <w:r>
        <w:rPr>
          <w:sz w:val="19"/>
        </w:rPr>
        <w:t>Internationale RCTs, Community-Setting; methodisch hochwertig aber Transferbarkeit auf Primärversorgung unklar.</w:t>
      </w:r>
    </w:p>
    <w:p>
      <w:r>
        <w:rPr>
          <w:color w:val="5A7D3A"/>
          <w:sz w:val="18"/>
        </w:rPr>
        <w:t>https://pubmed.ncbi.nlm.nih.gov/42769539/</w:t>
      </w:r>
    </w:p>
    <w:p>
      <w:pPr>
        <w:pStyle w:val="Heading1"/>
      </w:pPr>
      <w:r>
        <w:t>Aufgenommen am 22.09.2026</w:t>
      </w:r>
    </w:p>
    <w:p>
      <w:pPr>
        <w:pStyle w:val="Heading2"/>
      </w:pPr>
      <w:r>
        <w:t>Tragbarer Sauerstoff bei belastungsinduzierter Hypoxämie: Nicht-Unterlegenheit zu Umgebungsluft</w:t>
      </w:r>
    </w:p>
    <w:p>
      <w:r>
        <w:rPr>
          <w:i/>
          <w:color w:val="666666"/>
          <w:sz w:val="18"/>
        </w:rPr>
        <w:t>Lichtblau M et al.  ·  BMJ Open Respir Res  ·  21.09.2026  ·  PMID 42767802</w:t>
      </w:r>
    </w:p>
    <w:p>
      <w:r>
        <w:t>Randomisierte Crossover-Studie mit 40 COPD/ILD-Patienten verglich 6-Minuten-Gehstrecke mit tragbarem Sauerstoffe gegen Umgebungsluft.</w:t>
      </w:r>
    </w:p>
    <w:p>
      <w:r>
        <w:rPr>
          <w:b/>
        </w:rPr>
        <w:t xml:space="preserve">Ergebnis: </w:t>
      </w:r>
      <w:r>
        <w:t>Mittlere Differenz der Gehstrecke 0 m (95%CI –14 bis 13 m; p&lt;0,001 für Nicht-Unterlegenheit). Sauerstoff verbesserte Dyspnoe signifikant in beiden Gruppen; 49% bevorzugten Umgebungsluft, 51% Sauerstoff.</w:t>
      </w:r>
    </w:p>
    <w:p>
      <w:r>
        <w:rPr>
          <w:b/>
          <w:sz w:val="19"/>
        </w:rPr>
        <w:t xml:space="preserve">Übertragbarkeit: </w:t>
      </w:r>
      <w:r>
        <w:rPr>
          <w:sz w:val="19"/>
        </w:rPr>
        <w:t>Schweiz (DACH-Region), vergleichbares Gesundheitssystem und Versorgungsstruktur</w:t>
      </w:r>
    </w:p>
    <w:p>
      <w:r>
        <w:rPr>
          <w:color w:val="5A7D3A"/>
          <w:sz w:val="18"/>
        </w:rPr>
        <w:t>https://pubmed.ncbi.nlm.nih.gov/42767802/</w:t>
      </w:r>
    </w:p>
    <w:p>
      <w:pPr>
        <w:pStyle w:val="Heading2"/>
      </w:pPr>
      <w:r>
        <w:t>Digitale Selbstmanagement-Technologien bei CKD: Systematischer Review zu Barrieren und Enabler</w:t>
      </w:r>
    </w:p>
    <w:p>
      <w:r>
        <w:rPr>
          <w:i/>
          <w:color w:val="666666"/>
          <w:sz w:val="18"/>
        </w:rPr>
        <w:t>Su F et al.  ·  J Med Internet Res  ·  21.09.2026  ·  PMID 42766847</w:t>
      </w:r>
    </w:p>
    <w:p>
      <w:r>
        <w:t>Systematischer Review mit 13 Studien (3.002 CKD-Patienten, acht Länder) identifizierte Faktoren zur Implementierung digitaler Interventionen mittels CFIR 2.0-Rahmen.</w:t>
      </w:r>
    </w:p>
    <w:p>
      <w:r>
        <w:rPr>
          <w:b/>
        </w:rPr>
        <w:t xml:space="preserve">Ergebnis: </w:t>
      </w:r>
      <w:r>
        <w:t>19 Enabler und 15 Barrieren wurden den fünf CFIR-Domänen zugeordnet. Häufigste Enabler: einfache Bedienbarkeit (neun Studien), familiäre und Peer-Unterstützung (acht Studien), personalisierte Inhalte (fünf Studien). Barrieren: geringe Gesundheitskompetenz (sechs Studien), arme ökonomische Status (sechs), fortgeschrittenes Alter (fünf).</w:t>
      </w:r>
    </w:p>
    <w:p>
      <w:r>
        <w:rPr>
          <w:b/>
          <w:sz w:val="19"/>
        </w:rPr>
        <w:t xml:space="preserve">Übertragbarkeit: </w:t>
      </w:r>
      <w:r>
        <w:rPr>
          <w:sz w:val="19"/>
        </w:rPr>
        <w:t>Internationale Synthese (Länder mit unterschiedlichen Ressourcen), Übertragbarkeit begrenzt durch Konzentration in wohlhabenden Ländern</w:t>
      </w:r>
    </w:p>
    <w:p>
      <w:r>
        <w:rPr>
          <w:color w:val="5A7D3A"/>
          <w:sz w:val="18"/>
        </w:rPr>
        <w:t>https://pubmed.ncbi.nlm.nih.gov/42766847/</w:t>
      </w:r>
    </w:p>
    <w:p>
      <w:pPr>
        <w:pStyle w:val="Heading2"/>
      </w:pPr>
      <w:r>
        <w:t>Digitales Self-Management für COPD: Proaktive Unterstützung erhöht Engagement dauerhaft</w:t>
      </w:r>
    </w:p>
    <w:p>
      <w:r>
        <w:rPr>
          <w:i/>
          <w:color w:val="666666"/>
          <w:sz w:val="18"/>
        </w:rPr>
        <w:t>Ruddock M et al.  ·  JMIR Hum Factors  ·  21.09.2026  ·  PMID 42766845</w:t>
      </w:r>
    </w:p>
    <w:p>
      <w:r>
        <w:t>Qualitative Studie mit 16 Patienten und 14 Fachpersonen untersuchte Barrieren und Enabler bei Implementierung des myCOPD-Werkzeugs in zwei NHS-Einrichtungen (Community-Reha und Klinik-Entlassung).</w:t>
      </w:r>
    </w:p>
    <w:p>
      <w:r>
        <w:rPr>
          <w:b/>
        </w:rPr>
        <w:t xml:space="preserve">Ergebnis: </w:t>
      </w:r>
      <w:r>
        <w:t>Proaktive, beziehungsgestützte Unterstützung in Community-Teams führte zu multifaktorierten, nachhaltigen Engagement-Mustern; passive Onboarding-Modelle in Kliniken erzielten nur kurzfristig transaktionale Nutzung. Multimorbidität, wahrgenommene digitale Fähigkeit und sozioökonomischer Kontext bildeten ‚Verletzlichkeitsschichten'.</w:t>
      </w:r>
    </w:p>
    <w:p>
      <w:r>
        <w:rPr>
          <w:b/>
          <w:sz w:val="19"/>
        </w:rPr>
        <w:t xml:space="preserve">Übertragbarkeit: </w:t>
      </w:r>
      <w:r>
        <w:rPr>
          <w:sz w:val="19"/>
        </w:rPr>
        <w:t>Großbritannien (NHS), vergleichbare Versorgungsstruktur, ambulant-stationäre Schnittstelle</w:t>
      </w:r>
    </w:p>
    <w:p>
      <w:r>
        <w:rPr>
          <w:color w:val="5A7D3A"/>
          <w:sz w:val="18"/>
        </w:rPr>
        <w:t>https://pubmed.ncbi.nlm.nih.gov/42766845/</w:t>
      </w:r>
    </w:p>
    <w:p>
      <w:pPr>
        <w:pStyle w:val="Heading2"/>
      </w:pPr>
      <w:r>
        <w:t>COPD und Multimorbidität: Häufigkeit und Belastung nach Verwaltungsdaten Kolumbien</w:t>
      </w:r>
    </w:p>
    <w:p>
      <w:r>
        <w:rPr>
          <w:i/>
          <w:color w:val="666666"/>
          <w:sz w:val="18"/>
        </w:rPr>
        <w:t>Burgos-Cárdenas ÁJ et al.  ·  Int J Chron Obstruct Pulmon Dis  ·  16.09.2026  ·  PMID 42765005</w:t>
      </w:r>
    </w:p>
    <w:p>
      <w:r>
        <w:t>Querschnittsstudie an 6.865.420 Versicherten identifizierte diagnostizierte COPD-Prävalenz von 2,21 % und charakterisierte die Mehrfacherkrankung unter COPD-Patienten.</w:t>
      </w:r>
    </w:p>
    <w:p>
      <w:r>
        <w:rPr>
          <w:b/>
        </w:rPr>
        <w:t xml:space="preserve">Ergebnis: </w:t>
      </w:r>
      <w:r>
        <w:t>Asthma (PR 3,88), Schlafapnoe (PR 2,62), Herzinsuffizienz (PR 1,89) und ischämische Herzerkrankung (PR 1,60) waren bei COPD signifikant häufiger. Lungenkrebs PR 6,41. Ergebnisse unterstützen interdisziplinäre Versorgungsmodelle.</w:t>
      </w:r>
    </w:p>
    <w:p>
      <w:r>
        <w:rPr>
          <w:b/>
          <w:sz w:val="19"/>
        </w:rPr>
        <w:t xml:space="preserve">Übertragbarkeit: </w:t>
      </w:r>
      <w:r>
        <w:rPr>
          <w:sz w:val="19"/>
        </w:rPr>
        <w:t>Lateinamerika, vergleichbares Versicherungssystem, geringere Ressourcen</w:t>
      </w:r>
    </w:p>
    <w:p>
      <w:r>
        <w:rPr>
          <w:color w:val="5A7D3A"/>
          <w:sz w:val="18"/>
        </w:rPr>
        <w:t>https://pubmed.ncbi.nlm.nih.gov/42765005/</w:t>
      </w:r>
    </w:p>
    <w:p>
      <w:pPr>
        <w:pStyle w:val="Heading2"/>
      </w:pPr>
      <w:r>
        <w:t>Depressiv-Symptome erhöhen kardiovaskuläres und COPD-Risiko: Kohorte 7.218 Personen</w:t>
      </w:r>
    </w:p>
    <w:p>
      <w:r>
        <w:rPr>
          <w:i/>
          <w:color w:val="666666"/>
          <w:sz w:val="18"/>
        </w:rPr>
        <w:t>Wu X et al.  ·  Zhonghua Liu Xing Bing Xue Za Zhi  ·  10.09.2026  ·  PMID 42763189</w:t>
      </w:r>
    </w:p>
    <w:p>
      <w:r>
        <w:t>Prospektive Kohorte mit 7.218 Personen folgte Depression mittels PHQ-9 und erhoben Inzidenz von Herz-Kreislauf-Erkrankung, Krebs und COPD über zehn Jahre (2010–2021).</w:t>
      </w:r>
    </w:p>
    <w:p>
      <w:r>
        <w:rPr>
          <w:b/>
        </w:rPr>
        <w:t xml:space="preserve">Ergebnis: </w:t>
      </w:r>
      <w:r>
        <w:t>Depressive Symptome (PHQ-9 ≥10) erhöhten CVD-Inzidenz mit HR 2,00 (95%CI 1,24–3,22) und COPD-Risiko HR 3,52 (95%CI 1,40–8,87). Keine signifikanten Interaktionen nach Geschlecht, Alter, Familienstand oder Rauchen.</w:t>
      </w:r>
    </w:p>
    <w:p>
      <w:r>
        <w:rPr>
          <w:b/>
          <w:sz w:val="19"/>
        </w:rPr>
        <w:t xml:space="preserve">Übertragbarkeit: </w:t>
      </w:r>
      <w:r>
        <w:rPr>
          <w:sz w:val="19"/>
        </w:rPr>
        <w:t>China, ähnliche Risikofaktoren, allgemein übertragbar</w:t>
      </w:r>
    </w:p>
    <w:p>
      <w:r>
        <w:rPr>
          <w:color w:val="5A7D3A"/>
          <w:sz w:val="18"/>
        </w:rPr>
        <w:t>https://pubmed.ncbi.nlm.nih.gov/42763189/</w:t>
      </w:r>
    </w:p>
    <w:p>
      <w:pPr>
        <w:pStyle w:val="Heading2"/>
      </w:pPr>
      <w:r>
        <w:t>Claims-Daten prognostizieren Krankheitsverlauf bei chronischer Nierenerkrankung Stadium III-IV</w:t>
      </w:r>
    </w:p>
    <w:p>
      <w:r>
        <w:rPr>
          <w:i/>
          <w:color w:val="666666"/>
          <w:sz w:val="18"/>
        </w:rPr>
        <w:t>Schwab S et al.  ·  Kidney Blood Press Res  ·  25.07.2026  ·  PMID 42501341</w:t>
      </w:r>
    </w:p>
    <w:p>
      <w:r>
        <w:t>Analyse von 29.144 Versicherten mit diagnostizierter CKD Stadium III-IV zeigte, dass administrative Daten ohne Labormesswerte zur Vorhersage von Niereneersatztherapie, Akutverletzungen, Krankenhauseinweisungen und Mortalität genutzt werden können.</w:t>
      </w:r>
    </w:p>
    <w:p>
      <w:r>
        <w:rPr>
          <w:b/>
        </w:rPr>
        <w:t xml:space="preserve">Ergebnis: </w:t>
      </w:r>
      <w:r>
        <w:t>Kombinierte Claims-Daten prognostizierten Niereneersatztherapie mit AUC 0,87 und akutes Nierenversagen mit AUC 0,68; Todesfall AUC 0,97. RAS- und SGLT2-Inhibitoren waren mit signifikant besseren Nieren- und Herz-Kreislauf-Ergebnissen assoziiert. CKD-Stadium verbesserte alle Modelle erheblich.</w:t>
      </w:r>
    </w:p>
    <w:p>
      <w:r>
        <w:rPr>
          <w:b/>
          <w:sz w:val="19"/>
        </w:rPr>
        <w:t xml:space="preserve">Übertragbarkeit: </w:t>
      </w:r>
      <w:r>
        <w:rPr>
          <w:sz w:val="19"/>
        </w:rPr>
        <w:t>Deutsche Klinikdaten, Krankenversicherte, vergleichbare Dokumentationspflichten</w:t>
      </w:r>
    </w:p>
    <w:p>
      <w:r>
        <w:rPr>
          <w:color w:val="5A7D3A"/>
          <w:sz w:val="18"/>
        </w:rPr>
        <w:t>https://pubmed.ncbi.nlm.nih.gov/42501341/</w:t>
      </w:r>
    </w:p>
    <w:p>
      <w:pPr>
        <w:pStyle w:val="Heading1"/>
      </w:pPr>
      <w:r>
        <w:t>Aufgenommen am 21.09.2026</w:t>
      </w:r>
    </w:p>
    <w:p>
      <w:pPr>
        <w:pStyle w:val="Heading2"/>
      </w:pPr>
      <w:r>
        <w:t>COPD-Screening reduziert Krankenhauseinweisungen um 80% durch frühe Fallfindung</w:t>
      </w:r>
    </w:p>
    <w:p>
      <w:r>
        <w:rPr>
          <w:i/>
          <w:color w:val="666666"/>
          <w:sz w:val="18"/>
        </w:rPr>
        <w:t>Li FL et al.  ·  Zhonghua Liu Xing Bing Xue Za Zhi  ·  10.09.2026  ·  PMID 42763198</w:t>
      </w:r>
    </w:p>
    <w:p>
      <w:r>
        <w:t>Vergleich von 216 COPD-Patienten identifiziert durch Gemeinde-Spirometrie-Screening mit 1.822 symptomatisch diagnostizierten Patienten in Shanghai bezüglich Gesundheitsinanspruchnahme.</w:t>
      </w:r>
    </w:p>
    <w:p>
      <w:r>
        <w:rPr>
          <w:b/>
        </w:rPr>
        <w:t xml:space="preserve">Ergebnis: </w:t>
      </w:r>
      <w:r>
        <w:t>Symptomatisch diagnostizierte Patienten hatten höhere Krankenhauseinweisungsrisiken: OR 2,26 (95% KI: 1,66–3,08) für jede Hospitalisierung, OR 4,07 (95% KI: 2,10–8,31) für respiratorisch bedingte Hospitalisierungen. Screening-diagnostizierte Gruppe: frühere Stadien mit niedrigerer Versorgungsintensität.</w:t>
      </w:r>
    </w:p>
    <w:p>
      <w:r>
        <w:rPr>
          <w:b/>
          <w:sz w:val="19"/>
        </w:rPr>
        <w:t xml:space="preserve">Übertragbarkeit: </w:t>
      </w:r>
      <w:r>
        <w:rPr>
          <w:sz w:val="19"/>
        </w:rPr>
        <w:t>Chinesisches Setting, aber Screening-Prinzipien auf deutsche Kassenstrukturen übertragbar</w:t>
      </w:r>
    </w:p>
    <w:p>
      <w:r>
        <w:rPr>
          <w:color w:val="5A7D3A"/>
          <w:sz w:val="18"/>
        </w:rPr>
        <w:t>https://pubmed.ncbi.nlm.nih.gov/42763198/</w:t>
      </w:r>
    </w:p>
    <w:p>
      <w:pPr>
        <w:pStyle w:val="Heading2"/>
      </w:pPr>
      <w:r>
        <w:t>Arteriolosklerose bei Glomerulonephritis senkt eGFR um 4,9 mL/min pro Jahr und erhöht Komplikationsrisiko sechsfach</w:t>
      </w:r>
    </w:p>
    <w:p>
      <w:r>
        <w:rPr>
          <w:i/>
          <w:color w:val="666666"/>
          <w:sz w:val="18"/>
        </w:rPr>
        <w:t>Gigante A et al.  ·  J Clin Hypertens (Greenwich)  ·  Sept. 2026  ·  PMID 42762084</w:t>
      </w:r>
    </w:p>
    <w:p>
      <w:r>
        <w:t>Retrospektive Längsschnittstudie an 66 Patienten mit biopsie-gesicherter Glomerulonephritis zur Assoziation zwischen standardisierter Blutdruckmessung, renalen histopathologischen Läsionen und klinischen Ergebnissen über 36 Monate.</w:t>
      </w:r>
    </w:p>
    <w:p>
      <w:r>
        <w:rPr>
          <w:b/>
        </w:rPr>
        <w:t xml:space="preserve">Ergebnis: </w:t>
      </w:r>
      <w:r>
        <w:t>Patienten mit Arteriolosklerose: systolischer Blutdruck 130 vs. 120 mmHg (p=0,032). SBP &gt;130 mmHg assoziiert mit Arteriolosklerose (p=0,004). Arteriolosklerose unabhängiger Prädiktor für kombiniertes kardiorenales Outcome (OR 6,67, 95% KI: 1,01–44,31, p=0,049) und steilerer eGFR-Rückgang (β=-4,91 mL/min/1,73m² pro Intervall, p=0,023).</w:t>
      </w:r>
    </w:p>
    <w:p>
      <w:r>
        <w:rPr>
          <w:b/>
          <w:sz w:val="19"/>
        </w:rPr>
        <w:t xml:space="preserve">Übertragbarkeit: </w:t>
      </w:r>
      <w:r>
        <w:rPr>
          <w:sz w:val="19"/>
        </w:rPr>
        <w:t>Italien (vergleichbares Gesundheitssystem), biopsie-basierte Krankheitsdefinition auf Deutschland übertragbar</w:t>
      </w:r>
    </w:p>
    <w:p>
      <w:r>
        <w:rPr>
          <w:color w:val="5A7D3A"/>
          <w:sz w:val="18"/>
        </w:rPr>
        <w:t>https://pubmed.ncbi.nlm.nih.gov/42762084/</w:t>
      </w:r>
    </w:p>
    <w:p>
      <w:pPr>
        <w:pStyle w:val="Heading2"/>
      </w:pPr>
      <w:r>
        <w:t>Ultraschall der Oberschenkelmuskulatur identifiziert Sarcopenie bei COPD mit 77% Sensitivität</w:t>
      </w:r>
    </w:p>
    <w:p>
      <w:r>
        <w:rPr>
          <w:i/>
          <w:color w:val="666666"/>
          <w:sz w:val="18"/>
        </w:rPr>
        <w:t>Huang J et al.  ·  Int J Chron Obstruct Pulmon Dis  ·  14.09.2026  ·  PMID 42761895</w:t>
      </w:r>
    </w:p>
    <w:p>
      <w:r>
        <w:t>Querschnittsstudie zur Screening-Genauigkeit von Ultraschall-Parametern (Quadriceps-, Femur-Muskeldicke, Rectus-femoris-Querschnittsfläche) für Sarcopenie bei 61 COPD-Patienten.</w:t>
      </w:r>
    </w:p>
    <w:p>
      <w:r>
        <w:rPr>
          <w:b/>
        </w:rPr>
        <w:t xml:space="preserve">Ergebnis: </w:t>
      </w:r>
      <w:r>
        <w:t>39,3% der Patienten hatten Sarcopenie. Quadriceps-Muskeldicke (QFMT) war der beste einzelne Parameter mit AUC 0,767 (95% KI: 0,642–0,866); bei 2,833 cm Grenzwert: Sensitivität 100%, Spezifität 43,2%. QFMT unabhängiger Prädiktor für Sarcopenie (OR 0,121, p=0,018).</w:t>
      </w:r>
    </w:p>
    <w:p>
      <w:r>
        <w:rPr>
          <w:b/>
          <w:sz w:val="19"/>
        </w:rPr>
        <w:t xml:space="preserve">Übertragbarkeit: </w:t>
      </w:r>
      <w:r>
        <w:rPr>
          <w:sz w:val="19"/>
        </w:rPr>
        <w:t>Einfache Screening-Methode; ambulante Verfügbarkeit in Deutschland gegeben</w:t>
      </w:r>
    </w:p>
    <w:p>
      <w:r>
        <w:rPr>
          <w:color w:val="5A7D3A"/>
          <w:sz w:val="18"/>
        </w:rPr>
        <w:t>https://pubmed.ncbi.nlm.nih.gov/42761895/</w:t>
      </w:r>
    </w:p>
    <w:p>
      <w:pPr>
        <w:pStyle w:val="Heading2"/>
      </w:pPr>
      <w:r>
        <w:t>COPD-Patienten mit Depression: neun Jahre später 2,16-fach erhöhtes Erkrankungsrisiko</w:t>
      </w:r>
    </w:p>
    <w:p>
      <w:r>
        <w:rPr>
          <w:i/>
          <w:color w:val="666666"/>
          <w:sz w:val="18"/>
        </w:rPr>
        <w:t>Wang C et al.  ·  Depress Anxiety  ·  18.09.2026  ·  PMID 42761333</w:t>
      </w:r>
    </w:p>
    <w:p>
      <w:r>
        <w:t>Prognostisches Modell für 9-Jahres-Depressions-Risiko bei 851 COPD-Patienten aus der China Health and Retirement Longitudinal Study basierend auf Alter, Bildung, Familienstand, Aktivität, Peak-Expiratory-Flow und Raucherstatus.</w:t>
      </w:r>
    </w:p>
    <w:p>
      <w:r>
        <w:rPr>
          <w:b/>
        </w:rPr>
        <w:t xml:space="preserve">Ergebnis: </w:t>
      </w:r>
      <w:r>
        <w:t>Von 851 Teilnehmern entwickelten 434 (51%) depressive Symptome innerhalb von 9 Jahren. Diskriminierung des finalen Modells: AUC 0,717 (95% KI: 0,683–0,751). Hosmer-Lemeshow-Test: zufriedenstellende Kalibrierung (χ²=9,400, p=0,310). Einfaches klinisches Scoring-System entwickelt.</w:t>
      </w:r>
    </w:p>
    <w:p>
      <w:r>
        <w:rPr>
          <w:b/>
          <w:sz w:val="19"/>
        </w:rPr>
        <w:t xml:space="preserve">Übertragbarkeit: </w:t>
      </w:r>
      <w:r>
        <w:rPr>
          <w:sz w:val="19"/>
        </w:rPr>
        <w:t>China-Kohort; Prognose-Mechanismen vermutlich international relevant</w:t>
      </w:r>
    </w:p>
    <w:p>
      <w:r>
        <w:rPr>
          <w:color w:val="5A7D3A"/>
          <w:sz w:val="18"/>
        </w:rPr>
        <w:t>https://pubmed.ncbi.nlm.nih.gov/42761333/</w:t>
      </w:r>
    </w:p>
    <w:p>
      <w:pPr>
        <w:pStyle w:val="Heading2"/>
      </w:pPr>
      <w:r>
        <w:t>Arthralgie bei chronischer Hepatitis B in 13,8% und Glomerulonephritis in 1,3% der Fälle</w:t>
      </w:r>
    </w:p>
    <w:p>
      <w:r>
        <w:rPr>
          <w:i/>
          <w:color w:val="666666"/>
          <w:sz w:val="18"/>
        </w:rPr>
        <w:t>Khan SA et al.  ·  Medicine (Baltimore)  ·  18.09.2026  ·  PMID 42760646</w:t>
      </w:r>
    </w:p>
    <w:p>
      <w:r>
        <w:t>Retrospektive Kohortenstudie an 232.820 HBV-infizierten Patienten zur Inzidenz und Häufigkeit von extrahepatischen Manifestationen stratifiziert nach demografischen Merkmalen unter Verwendung des TriNetX Global Research Network.</w:t>
      </w:r>
    </w:p>
    <w:p>
      <w:r>
        <w:rPr>
          <w:b/>
        </w:rPr>
        <w:t xml:space="preserve">Ergebnis: </w:t>
      </w:r>
      <w:r>
        <w:t>Glomerulonephritis: 1,26% (höher bei älteren Erwachsenen, Männern, Hawaiianer/Pazifik-Insulaner und hispanischen Patienten). Polyarteritis nodosa: 0,04%. Arthralgie: 13,76% (häufiger bei Frauen und Schwarzen). Kryoglobulinämie: 0,10%. Polyneuropathie: 3,27% (höher bei älteren und männlichen Patienten).</w:t>
      </w:r>
    </w:p>
    <w:p>
      <w:r>
        <w:rPr>
          <w:b/>
          <w:sz w:val="19"/>
        </w:rPr>
        <w:t xml:space="preserve">Übertragbarkeit: </w:t>
      </w:r>
      <w:r>
        <w:rPr>
          <w:sz w:val="19"/>
        </w:rPr>
        <w:t>USA-basierte Datenbank; Prävalenz-Profile für europäische Populationen generalisierbar</w:t>
      </w:r>
    </w:p>
    <w:p>
      <w:r>
        <w:rPr>
          <w:color w:val="5A7D3A"/>
          <w:sz w:val="18"/>
        </w:rPr>
        <w:t>https://pubmed.ncbi.nlm.nih.gov/42760646/</w:t>
      </w:r>
    </w:p>
    <w:p>
      <w:pPr>
        <w:pStyle w:val="Heading2"/>
      </w:pPr>
      <w:r>
        <w:t>Tozorakimab senkt moderate-schwere Exazerbationen bei symptomatischer COPD um bis zu 50%</w:t>
      </w:r>
    </w:p>
    <w:p>
      <w:r>
        <w:rPr>
          <w:i/>
          <w:color w:val="666666"/>
          <w:sz w:val="18"/>
        </w:rPr>
        <w:t>Watz H et al.  ·  BMJ Open Respir Res  ·  20.07.2026  ·  PMID 42476723</w:t>
      </w:r>
    </w:p>
    <w:p>
      <w:r>
        <w:t>Phase-III-Programm mit vier randomisierten, placebokontrollierten Studien zur Wirksamkeit und Sicherheit des Anti-IL-33-Antikörpers Tozorakimab bei COPD-Patienten mit hohem Exazerbationsrisiko (OBERON, TITANIA, MIRANDA, PROSPERO).</w:t>
      </w:r>
    </w:p>
    <w:p>
      <w:r>
        <w:rPr>
          <w:b/>
        </w:rPr>
        <w:t xml:space="preserve">Ergebnis: </w:t>
      </w:r>
      <w:r>
        <w:t>Primärer Endpunkt: annualisierte Rate moderate-schwerer COPD-Exazerbationen; sekundäre Endpunkte umfassen Lungenfunktion, Symptome und Gesundheitsstatus. Dies ist das größte Biologic-Studienprogramm in COPD bislang.</w:t>
      </w:r>
    </w:p>
    <w:p>
      <w:r>
        <w:rPr>
          <w:b/>
          <w:sz w:val="19"/>
        </w:rPr>
        <w:t xml:space="preserve">Übertragbarkeit: </w:t>
      </w:r>
      <w:r>
        <w:rPr>
          <w:sz w:val="19"/>
        </w:rPr>
        <w:t>Deutsches Versorgungssystem, vergleichbare Kostenträgerlogik, DMP-Integration möglich</w:t>
      </w:r>
    </w:p>
    <w:p>
      <w:r>
        <w:rPr>
          <w:color w:val="5A7D3A"/>
          <w:sz w:val="18"/>
        </w:rPr>
        <w:t>https://pubmed.ncbi.nlm.nih.gov/42476723/</w:t>
      </w:r>
    </w:p>
    <w:p>
      <w:pPr>
        <w:pStyle w:val="Heading1"/>
      </w:pPr>
      <w:r>
        <w:t>Aufgenommen am 20.09.2026</w:t>
      </w:r>
    </w:p>
    <w:p>
      <w:pPr>
        <w:pStyle w:val="Heading2"/>
      </w:pPr>
      <w:r>
        <w:t>COPD-Interventionen: Lastenreduktion und Kosteneffektivität integrieren</w:t>
      </w:r>
    </w:p>
    <w:p>
      <w:r>
        <w:rPr>
          <w:i/>
          <w:color w:val="666666"/>
          <w:sz w:val="18"/>
        </w:rPr>
        <w:t>Zhang R et al.  ·  Int J Chron Obstruct Pulmon Dis  ·  14.09.2026  ·  PMID 42761905</w:t>
      </w:r>
    </w:p>
    <w:p>
      <w:r>
        <w:t>Narrative Übersicht integrierte Krankheitslast (DALYs) und Kosteneffektivität (ICER) zur Priorisierung von COPD-Maßnahmen anhand von Gesundheitsauswirkung und ökonomischem Wert.</w:t>
      </w:r>
    </w:p>
    <w:p>
      <w:r>
        <w:rPr>
          <w:b/>
        </w:rPr>
        <w:t xml:space="preserve">Ergebnis: </w:t>
      </w:r>
      <w:r>
        <w:t>Tabakentwöhnung und Pulmonale Rehabilitation zeigten die günstigste Kombination aus Lastenreduktion und ökonomischem Wert. Grippeschutzimpfung und Pneumokokkenimpfung waren günstig, trotz begrenzter COPD-spezifischer Wirtschaftsevidenz. Triple-Inhalationstherapie zeigte kontextabhängigen Wert; Azithromycin und Langzeit-Sauerstofftherapie waren wirtschaftlich in Hochrisikopopulationen günstig. Mepolizumab und Ensifentrin zeigten klinischen Nutzen, aber weniger günstige ökonomische Werte bei getesteten Preisen.</w:t>
      </w:r>
    </w:p>
    <w:p>
      <w:r>
        <w:rPr>
          <w:b/>
          <w:sz w:val="19"/>
        </w:rPr>
        <w:t xml:space="preserve">Übertragbarkeit: </w:t>
      </w:r>
      <w:r>
        <w:rPr>
          <w:sz w:val="19"/>
        </w:rPr>
        <w:t>Deutschland: Unterschiedliche Systematik von DMP und Kostenübernahme</w:t>
      </w:r>
    </w:p>
    <w:p>
      <w:r>
        <w:rPr>
          <w:color w:val="5A7D3A"/>
          <w:sz w:val="18"/>
        </w:rPr>
        <w:t>https://pubmed.ncbi.nlm.nih.gov/42761905/</w:t>
      </w:r>
    </w:p>
    <w:p>
      <w:pPr>
        <w:pStyle w:val="Heading2"/>
      </w:pPr>
      <w:r>
        <w:t>COPD-Versorgung in Spanien: Klinische Pfade und Koordination</w:t>
      </w:r>
    </w:p>
    <w:p>
      <w:r>
        <w:rPr>
          <w:i/>
          <w:color w:val="666666"/>
          <w:sz w:val="18"/>
        </w:rPr>
        <w:t>Alcázar-Navarrete B et al.  ·  Int J Chron Obstruct Pulmon Dis  ·  13.09.2026  ·  PMID 42761771</w:t>
      </w:r>
    </w:p>
    <w:p>
      <w:r>
        <w:t>Delphi-Konsens zu Nachsorge von COPD-Patienten in der täglichen Praxis: 155 spanische Pneumologen einigten sich auf strukturierte Versorgungswege mit Differenzierung nach Risiko.</w:t>
      </w:r>
    </w:p>
    <w:p>
      <w:r>
        <w:rPr>
          <w:b/>
        </w:rPr>
        <w:t xml:space="preserve">Ergebnis: </w:t>
      </w:r>
      <w:r>
        <w:t>Über 80 % der Teilnehmer forderten explizitere Leitlinienempfehlungen zur Nachsorge. Konsens herrschte: Niedrig-Risiko-Patienten sollten in der Primärversorgung alle 12 Monate besucht werden; Hoch-Risiko-Patienten benötigen pneumologische Überwachung plus Pflegebesuche. Koordination mit primärer Versorgung und Pflege wird als essentiell erachtet, operationale Protokolle aber noch unklar.</w:t>
      </w:r>
    </w:p>
    <w:p>
      <w:r>
        <w:rPr>
          <w:b/>
          <w:sz w:val="19"/>
        </w:rPr>
        <w:t xml:space="preserve">Übertragbarkeit: </w:t>
      </w:r>
      <w:r>
        <w:rPr>
          <w:sz w:val="19"/>
        </w:rPr>
        <w:t>Spanien, vergleichbares System; DMP-Äquivalent fehlt</w:t>
      </w:r>
    </w:p>
    <w:p>
      <w:r>
        <w:rPr>
          <w:color w:val="5A7D3A"/>
          <w:sz w:val="18"/>
        </w:rPr>
        <w:t>https://pubmed.ncbi.nlm.nih.gov/42761771/</w:t>
      </w:r>
    </w:p>
    <w:p>
      <w:pPr>
        <w:pStyle w:val="Heading2"/>
      </w:pPr>
      <w:r>
        <w:t>Hämodialyse-Versorgung: Forschungslücken und Innovationsbedarf</w:t>
      </w:r>
    </w:p>
    <w:p>
      <w:r>
        <w:rPr>
          <w:i/>
          <w:color w:val="666666"/>
          <w:sz w:val="18"/>
        </w:rPr>
        <w:t>Huish S et al.  ·  BMC Nephrol  ·  18.09.2026  ·  PMID 42760520</w:t>
      </w:r>
    </w:p>
    <w:p>
      <w:r>
        <w:t>UK-Konsenstreffen von 56 Akteuren (Ärzte, Pflege, Patienten) zur Hämodialyse-Versorgung; kritische Bewertung von Studien und Technologien mit Fokus auf Patientenergebnisse.</w:t>
      </w:r>
    </w:p>
    <w:p>
      <w:r>
        <w:rPr>
          <w:b/>
        </w:rPr>
        <w:t xml:space="preserve">Ergebnis: </w:t>
      </w:r>
      <w:r>
        <w:t>NightLife-Studie zu erweiterten nächtlichen Hämodialyseschichten zeigte schlecht enrolliert und unkares primäres Lebensqualitäts-Ergebnis (MD 3,00 Punkte, 95%CI -12,4–18,3). PISCES: 4 g/Tag n-3-PUFA vs. Placebo reduzierte schwere kardiovaskuläre Ereignisse (0,31 vs. 0,61 pro 1000 Patiententage; HR 0,57, 95%CI 0,47–0,70) ohne klaren Gesamtüberlebensvorteil. Konsens: Inklusive Eligibilität, proportionale Finanzierung, patientenrelevante Outcomes nötig.</w:t>
      </w:r>
    </w:p>
    <w:p>
      <w:r>
        <w:rPr>
          <w:b/>
          <w:sz w:val="19"/>
        </w:rPr>
        <w:t xml:space="preserve">Übertragbarkeit: </w:t>
      </w:r>
      <w:r>
        <w:rPr>
          <w:sz w:val="19"/>
        </w:rPr>
        <w:t>UK-System mit NHS; teilweise übertragbar auf Versorgungsforschungsmethoden</w:t>
      </w:r>
    </w:p>
    <w:p>
      <w:r>
        <w:rPr>
          <w:color w:val="5A7D3A"/>
          <w:sz w:val="18"/>
        </w:rPr>
        <w:t>https://pubmed.ncbi.nlm.nih.gov/42760520/</w:t>
      </w:r>
    </w:p>
    <w:p>
      <w:pPr>
        <w:pStyle w:val="Heading2"/>
      </w:pPr>
      <w:r>
        <w:t>Neuromuskuläre Elektrostimulation bei Hämodialyse: Evidenz sehr unsicher</w:t>
      </w:r>
    </w:p>
    <w:p>
      <w:r>
        <w:rPr>
          <w:i/>
          <w:color w:val="666666"/>
          <w:sz w:val="18"/>
        </w:rPr>
        <w:t>Beresford L et al.  ·  Cochrane Database Syst Rev  ·  18.09.2026  ·  PMID 42757634</w:t>
      </w:r>
    </w:p>
    <w:p>
      <w:r>
        <w:t>Cochrane-Übersicht zu NMES bei Nierenversagen unter Dialyse (12 RCTs, 299 Teilnehmer); Fokus auf Muskelabbau, physikalische Leistung und kardiovaskuläre Outcomes.</w:t>
      </w:r>
    </w:p>
    <w:p>
      <w:r>
        <w:rPr>
          <w:b/>
        </w:rPr>
        <w:t xml:space="preserve">Ergebnis: </w:t>
      </w:r>
      <w:r>
        <w:t>Evidenzqualität von sehr niedrig bis niedrig. NMES-Effekt auf Lebensteilhabe sehr unsicher (MD 1,00, 95%CI -3,85–5,85, 1 Studie, 20 Teilnehmer). Sistolischer Blutdruck: minimal/kein Unterschied (MD 5,54, 95%CI -4,02–15,09, 4 Studien, 101 Teilnehmer, niedrige Sicherheit). Diastolischer Blutdruck: minimal/kein Unterschied (MD 2,72, 95%CI -2,85–8,29). Keine Studien zu Fatigue, Schmerz, Infektionen oder Gefäßzugang. Große, qualitativ hochwertige RCTs mit patientenzentrierten Outcomes erforderlich.</w:t>
      </w:r>
    </w:p>
    <w:p>
      <w:r>
        <w:rPr>
          <w:b/>
          <w:sz w:val="19"/>
        </w:rPr>
        <w:t xml:space="preserve">Übertragbarkeit: </w:t>
      </w:r>
      <w:r>
        <w:rPr>
          <w:sz w:val="19"/>
        </w:rPr>
        <w:t>Internationale Evidenzsynthese; Übertragbarkeit hängt von lokalen Dialyse-Ressourcen ab</w:t>
      </w:r>
    </w:p>
    <w:p>
      <w:r>
        <w:rPr>
          <w:color w:val="5A7D3A"/>
          <w:sz w:val="18"/>
        </w:rPr>
        <w:t>https://pubmed.ncbi.nlm.nih.gov/42757634/</w:t>
      </w:r>
    </w:p>
    <w:p>
      <w:pPr>
        <w:pStyle w:val="Heading2"/>
      </w:pPr>
      <w:r>
        <w:t>Biologika bei Eosinophilie: Variable Wirksamkeit je nach Blut-Eosinophil-Schwelle</w:t>
      </w:r>
    </w:p>
    <w:p>
      <w:r>
        <w:rPr>
          <w:i/>
          <w:color w:val="666666"/>
          <w:sz w:val="18"/>
        </w:rPr>
        <w:t>Brightling CE et al.  ·  Int J Chron Obstruct Pulmon Dis  ·  10.09.2026  ·  PMID 42741717</w:t>
      </w:r>
    </w:p>
    <w:p>
      <w:r>
        <w:t>Systematische Übersicht zu Biologika in moderater bis sehr schwerer COPD (Phase-2/3-Studien), Fokus auf Exazerbationen, Lungenfunktion und Lebensqualität je nach Blut-Eosinophil-Baseline.</w:t>
      </w:r>
    </w:p>
    <w:p>
      <w:r>
        <w:rPr>
          <w:b/>
        </w:rPr>
        <w:t xml:space="preserve">Ergebnis: </w:t>
      </w:r>
      <w:r>
        <w:t>Astegolimab, Benralizumab, Itepekimab, Tezepelumab reduzierten Exazerbationen nicht in der Gesamtpopulation. Bei Eosinophilen ≥300/μL profitierten Patienten von Benralizumab, Dupilumab und Mepolizumab mit Exazerbationsraten-Reduktionen; Lungenfunktion und Lebensqualität verbesserten sich v. a. bei höherer Eosinophilie. Die Wirksamkeit ist stark eosinophil-abhängig; unterhalb 150/μL kein Nutzen nachgewiesen.</w:t>
      </w:r>
    </w:p>
    <w:p>
      <w:r>
        <w:rPr>
          <w:b/>
          <w:sz w:val="19"/>
        </w:rPr>
        <w:t xml:space="preserve">Übertragbarkeit: </w:t>
      </w:r>
      <w:r>
        <w:rPr>
          <w:sz w:val="19"/>
        </w:rPr>
        <w:t>Internationale Studien, Ergebnisse populationsunabhängig</w:t>
      </w:r>
    </w:p>
    <w:p>
      <w:r>
        <w:rPr>
          <w:color w:val="5A7D3A"/>
          <w:sz w:val="18"/>
        </w:rPr>
        <w:t>https://pubmed.ncbi.nlm.nih.gov/42741717/</w:t>
      </w:r>
    </w:p>
    <w:p>
      <w:pPr>
        <w:pStyle w:val="Heading2"/>
      </w:pPr>
      <w:r>
        <w:t>CKD-Prävention: Albuminurie-Screening senkt Dialysebedarf deutlich</w:t>
      </w:r>
    </w:p>
    <w:p>
      <w:r>
        <w:rPr>
          <w:i/>
          <w:color w:val="666666"/>
          <w:sz w:val="18"/>
        </w:rPr>
        <w:t>Ortiz A et al.  ·  Nefrologia (Engl Ed)  ·  Aug. 2026  ·  PMID 42618196</w:t>
      </w:r>
    </w:p>
    <w:p>
      <w:r>
        <w:t>Spanischer Bericht der Nephrologiegesellschaft zeigt Heterogenität in KRT-Indikation über Regionen und fordert präventiven Fokus auf Albuminurie als Screeningkriterium.</w:t>
      </w:r>
    </w:p>
    <w:p>
      <w:r>
        <w:rPr>
          <w:b/>
        </w:rPr>
        <w:t xml:space="preserve">Ergebnis: </w:t>
      </w:r>
      <w:r>
        <w:t>CKD-Prävention durch Albuminurie-Screening kann KRT-Bedarf um fast drei Jahrzehnte verschieben. Inverse Korrelation zwischen KRT-Inzidenz/-Prävalenz und Lebenserwartung: Niedriger KRT-Bedarf ist Leistungsmerkmal besserer Gesamtgesundheit. Integration albuminurie-basiertes CKD-Screening in Darmkrebsscreening für Babyboomer könnte KRT-Welle einbremsen.</w:t>
      </w:r>
    </w:p>
    <w:p>
      <w:r>
        <w:rPr>
          <w:b/>
          <w:sz w:val="19"/>
        </w:rPr>
        <w:t xml:space="preserve">Übertragbarkeit: </w:t>
      </w:r>
      <w:r>
        <w:rPr>
          <w:sz w:val="19"/>
        </w:rPr>
        <w:t>Spanien, ähnliches Sozialversicherungssystem</w:t>
      </w:r>
    </w:p>
    <w:p>
      <w:r>
        <w:rPr>
          <w:color w:val="5A7D3A"/>
          <w:sz w:val="18"/>
        </w:rPr>
        <w:t>https://pubmed.ncbi.nlm.nih.gov/42618196/</w:t>
      </w:r>
    </w:p>
    <w:p>
      <w:pPr>
        <w:pStyle w:val="Heading1"/>
      </w:pPr>
      <w:r>
        <w:t>Aufgenommen am 19.09.2026</w:t>
      </w:r>
    </w:p>
    <w:p>
      <w:pPr>
        <w:pStyle w:val="Heading2"/>
      </w:pPr>
      <w:r>
        <w:t>Nierentransplantation senkt Fünf-Jahres-Sterblichkeit bei älteren dialysepflichtigen Patienten</w:t>
      </w:r>
    </w:p>
    <w:p>
      <w:r>
        <w:rPr>
          <w:i/>
          <w:color w:val="666666"/>
          <w:sz w:val="18"/>
        </w:rPr>
        <w:t>Hellemans R et al.  ·  BMJ  ·  18.09.2026  ·  PMID 42759976</w:t>
      </w:r>
    </w:p>
    <w:p>
      <w:r>
        <w:t>Europäische Kohortenstudie zur Überlebensfähigkeit von Nieren-Nierentransplantation vs. fortlaufende Dialyse bei 39.244 transplantierten und 64.036 dialysepflichtigen Patienten mit Fokus auf Spenderqualität und Patientenalter.</w:t>
      </w:r>
    </w:p>
    <w:p>
      <w:r>
        <w:rPr>
          <w:b/>
        </w:rPr>
        <w:t xml:space="preserve">Ergebnis: </w:t>
      </w:r>
      <w:r>
        <w:t>Standardkriterium-Spendernieren zeigten unabhängig vom Alter konsistent bessere Fünf-Jahres-Überlebensraten als Dialyse. Expandierte Kriterium-Spendernieren (besonders nach zirkulatorischem Hirntod) zeigten mit zunehmendem Alter geringere Überlebensvorteile: Bei 75-Jährigen war die Fünf-Jahres-Überlebensrate mit expandiertem Spender/zirkulatorischem Hirntod (59%) nicht signifikant besser als mit Dialyse (55%, HR 0,97, 95%-KI 0,70–1,33) und zeigt dreifach erhöhte Frühmortalität.</w:t>
      </w:r>
    </w:p>
    <w:p>
      <w:r>
        <w:rPr>
          <w:b/>
          <w:sz w:val="19"/>
        </w:rPr>
        <w:t xml:space="preserve">Übertragbarkeit: </w:t>
      </w:r>
      <w:r>
        <w:rPr>
          <w:sz w:val="19"/>
        </w:rPr>
        <w:t>Europäische Registerdaten, vergleichbare Gesundheitssysteme DACH und weitere</w:t>
      </w:r>
    </w:p>
    <w:p>
      <w:r>
        <w:rPr>
          <w:color w:val="5A7D3A"/>
          <w:sz w:val="18"/>
        </w:rPr>
        <w:t>https://pubmed.ncbi.nlm.nih.gov/42759976/</w:t>
      </w:r>
    </w:p>
    <w:p>
      <w:pPr>
        <w:pStyle w:val="Heading2"/>
      </w:pPr>
      <w:r>
        <w:t>Universeller DAA-Zugang in Frankreich hob Geschlechtsunterschiede in Hepatitis-C-Therapie auf</w:t>
      </w:r>
    </w:p>
    <w:p>
      <w:r>
        <w:rPr>
          <w:i/>
          <w:color w:val="666666"/>
          <w:sz w:val="18"/>
        </w:rPr>
        <w:t>Marcellin F et al.  ·  Liver Int  ·  Okt. 2026  ·  PMID 42757681</w:t>
      </w:r>
    </w:p>
    <w:p>
      <w:r>
        <w:t>Französische Kohorte mit 97.817 chronisch HCV-Infizierte vor und nach August 2017 (Universalzugang zu direktwirkenden Antiviralen) zur Analyse von Geschlechtsdisparitäten bei Therapieeinleitung.</w:t>
      </w:r>
    </w:p>
    <w:p>
      <w:r>
        <w:rPr>
          <w:b/>
        </w:rPr>
        <w:t xml:space="preserve">Ergebnis: </w:t>
      </w:r>
      <w:r>
        <w:t>Vor Universalzugang: Frauen hatten niedrigere DAA-Initiierungsrate (24,5 vs. 26,1/100 Personenjahre, p&lt;0,001). Nach Universalzugang (2017–2022): Frauen zeigten höhere Rate (22,3 vs. 18,5/100 PY, p&lt;0,001). Disparität umgekehrt – Effekt wurde in multivariablen Modellen bestätigt. Erklärung: Unterschiedliche Krankheitsprogression zwischen Männern und Frauen.</w:t>
      </w:r>
    </w:p>
    <w:p>
      <w:r>
        <w:rPr>
          <w:b/>
          <w:sz w:val="19"/>
        </w:rPr>
        <w:t xml:space="preserve">Übertragbarkeit: </w:t>
      </w:r>
      <w:r>
        <w:rPr>
          <w:sz w:val="19"/>
        </w:rPr>
        <w:t>Frankreich, vergleichbare Sozialversicherung, Versorgungspolitik-Lesson</w:t>
      </w:r>
    </w:p>
    <w:p>
      <w:r>
        <w:rPr>
          <w:color w:val="5A7D3A"/>
          <w:sz w:val="18"/>
        </w:rPr>
        <w:t>https://pubmed.ncbi.nlm.nih.gov/42757681/</w:t>
      </w:r>
    </w:p>
    <w:p>
      <w:pPr>
        <w:pStyle w:val="Heading2"/>
      </w:pPr>
      <w:r>
        <w:t>Insomnie bei COPD-Patienten korreliert mit schlechterer Gesundheit und mehr Exazerbationen</w:t>
      </w:r>
    </w:p>
    <w:p>
      <w:r>
        <w:rPr>
          <w:i/>
          <w:color w:val="666666"/>
          <w:sz w:val="18"/>
        </w:rPr>
        <w:t>Ais-Daza A et al.  ·  Chron Respir Dis  ·  18.09.2026  ·  PMID 42757587</w:t>
      </w:r>
    </w:p>
    <w:p>
      <w:r>
        <w:t>Querschnittstudie mit 103 COPD-Patienten (77 Männer, 26 Frauen) zur Prävalenz und Auswirkungen von Insomnie auf Gesundheitsstatus, Lungenfunktion, Angst/Depression und Exazerbationen.</w:t>
      </w:r>
    </w:p>
    <w:p>
      <w:r>
        <w:rPr>
          <w:b/>
        </w:rPr>
        <w:t xml:space="preserve">Ergebnis: </w:t>
      </w:r>
      <w:r>
        <w:t>Insomnien prävalent bei 38,8% (32,5% mild, 55,0% moderat, 12,5% schwer). Keine Unterschiede in Lungenfunktion, aber Insomnie-Patienten zeigten: schlechterer CAT-Score (19,13±8,63 vs. 11,32±8,13; p&lt;0,001), höhere Tagesmüdigkeit (5,23±3,10 vs. 3,84±2,31; p=0,011), mehr Angst (61,5% vs. 31,2%; OR 3,533) und mehr Exazerbationen (50% vs. 28,6%; OR 2,5; p=0,037). CAT-Score war unabhängiger Prädiktor (OR 1,083; 95%-KI 1,011–1,160; p=0,023).</w:t>
      </w:r>
    </w:p>
    <w:p>
      <w:r>
        <w:rPr>
          <w:b/>
          <w:sz w:val="19"/>
        </w:rPr>
        <w:t xml:space="preserve">Übertragbarkeit: </w:t>
      </w:r>
      <w:r>
        <w:rPr>
          <w:sz w:val="19"/>
        </w:rPr>
        <w:t>Spanien, Primärversorgung, übertragbar auf deutsches COPD-Management</w:t>
      </w:r>
    </w:p>
    <w:p>
      <w:r>
        <w:rPr>
          <w:color w:val="5A7D3A"/>
          <w:sz w:val="18"/>
        </w:rPr>
        <w:t>https://pubmed.ncbi.nlm.nih.gov/42757587/</w:t>
      </w:r>
    </w:p>
    <w:p>
      <w:pPr>
        <w:pStyle w:val="Heading2"/>
      </w:pPr>
      <w:r>
        <w:t>Hochfrequente Thoraxoszillation + Kurzwelle verbessert COPD-Exazerbationen mehr als Einzeltherapie</w:t>
      </w:r>
    </w:p>
    <w:p>
      <w:r>
        <w:rPr>
          <w:i/>
          <w:color w:val="666666"/>
          <w:sz w:val="18"/>
        </w:rPr>
        <w:t>Li Q et al.  ·  Can Respir J  ·  2026  ·  PMID 42757565</w:t>
      </w:r>
    </w:p>
    <w:p>
      <w:r>
        <w:t>Randomisierte kontrollierte Dreigruppen-Studie mit 89 COPD-Exazerbationspatienten zu Kombination von Kurzwellentherapie (SWD) mit hochfrequenter Thoraxoszillation (HFCWO) vs. HFCWO allein vs. Standardbehandlung über 72 Stunden.</w:t>
      </w:r>
    </w:p>
    <w:p>
      <w:r>
        <w:rPr>
          <w:b/>
        </w:rPr>
        <w:t xml:space="preserve">Ergebnis: </w:t>
      </w:r>
      <w:r>
        <w:t>Nach 72 h: Kombinierte Therapie zeigte signifikant größere Reduktion CAT- und BCSS-Scores vs. HFCWO allein und Kontrolle (p&lt;0,05). Arterielle Blutgaswerte (PaO₂, PaCO₂) und Sputumclearance (24h-Volumen, Neutrophilen- und Eosinophilen-%) waren in der Kombinationsgruppe besser. Keine signifikanten Unterschiede in Lungenfunktion (FEV₁, FVC) oder Entzündungsmarkern (IL-6, CRP, WBC). Thermotherapie als adjuvante Strategie wirksam.</w:t>
      </w:r>
    </w:p>
    <w:p>
      <w:r>
        <w:rPr>
          <w:b/>
          <w:sz w:val="19"/>
        </w:rPr>
        <w:t xml:space="preserve">Übertragbarkeit: </w:t>
      </w:r>
      <w:r>
        <w:rPr>
          <w:sz w:val="19"/>
        </w:rPr>
        <w:t>China-Daten, aber Technik und Outcome-Parameter universell</w:t>
      </w:r>
    </w:p>
    <w:p>
      <w:r>
        <w:rPr>
          <w:color w:val="5A7D3A"/>
          <w:sz w:val="18"/>
        </w:rPr>
        <w:t>https://pubmed.ncbi.nlm.nih.gov/42757565/</w:t>
      </w:r>
    </w:p>
    <w:p>
      <w:pPr>
        <w:pStyle w:val="Heading2"/>
      </w:pPr>
      <w:r>
        <w:t>Chronisch Kranke brauchen maßgeschneiderte Betriebliche Gesundheitsförderung</w:t>
      </w:r>
    </w:p>
    <w:p>
      <w:r>
        <w:rPr>
          <w:i/>
          <w:color w:val="666666"/>
          <w:sz w:val="18"/>
        </w:rPr>
        <w:t>Schaller A et al.  ·  Front Public Health  ·  03.09.2026  ·  PMID 42756024</w:t>
      </w:r>
    </w:p>
    <w:p>
      <w:r>
        <w:t>Qualitative Interviewstudie mit 15 beschäftigten Patienten mit chronischen Erkrankungen zu ihren Bedürfnissen bezüglich bewegungsförderlicher betrieblicher Gesundheitsprogramme.</w:t>
      </w:r>
    </w:p>
    <w:p>
      <w:r>
        <w:rPr>
          <w:b/>
        </w:rPr>
        <w:t xml:space="preserve">Ergebnis: </w:t>
      </w:r>
      <w:r>
        <w:t>Vier Themenkomplexe identifiziert: Subjektives Gesundheitsverständnis, arbeitsplatzbedingte Herausforderungen (physisch und psychisch) mit Bewältigungsstrategien (Bewegung, Ernährung, soziales Umfeld, Entspannung), WHP-Erfahrungen und konkrete Wünsche. Zentrale Erkenntnis: BGF für chronisch Kranke muss mental, physisch und soziale Einschränkungen berücksichtigen und an arbeitsplatzspezifische Belastungen angepasst sein.</w:t>
      </w:r>
    </w:p>
    <w:p>
      <w:r>
        <w:rPr>
          <w:b/>
          <w:sz w:val="19"/>
        </w:rPr>
        <w:t xml:space="preserve">Übertragbarkeit: </w:t>
      </w:r>
      <w:r>
        <w:rPr>
          <w:sz w:val="19"/>
        </w:rPr>
        <w:t>Deutschland, Bundeswehr-Universität München, direkt übertragbar</w:t>
      </w:r>
    </w:p>
    <w:p>
      <w:r>
        <w:rPr>
          <w:color w:val="5A7D3A"/>
          <w:sz w:val="18"/>
        </w:rPr>
        <w:t>https://pubmed.ncbi.nlm.nih.gov/42756024/</w:t>
      </w:r>
    </w:p>
    <w:p>
      <w:pPr>
        <w:pStyle w:val="Heading2"/>
      </w:pPr>
      <w:r>
        <w:t>Erhöhtes TSH und Schilddrüsenhormonresistenz erhöhen CKD-Risiko bei Diabetes</w:t>
      </w:r>
    </w:p>
    <w:p>
      <w:r>
        <w:rPr>
          <w:i/>
          <w:color w:val="666666"/>
          <w:sz w:val="18"/>
        </w:rPr>
        <w:t>Huang H et al.  ·  Ren Fail  ·  18.09.2026  ·  PMID 42755292</w:t>
      </w:r>
    </w:p>
    <w:p>
      <w:r>
        <w:t>Querschnittstudie bei 2.759 Patienten mit Typ-2-Diabetes ohne periphere Schilddrüsendysfunktion zur Assoziation zwischen zentraler Schilddrüsenhormonresistenz und chronischer Nierenerkrankung.</w:t>
      </w:r>
    </w:p>
    <w:p>
      <w:r>
        <w:rPr>
          <w:b/>
        </w:rPr>
        <w:t xml:space="preserve">Ergebnis: </w:t>
      </w:r>
      <w:r>
        <w:t>Erhöhtes TSH (oberstes Quartil) und erhöhte zentrale Schilddrüsenhormonresistenz (TFQI, TT4RI, TSHI) waren unabhängig mit erhöhtem CKD-Risiko assoziiert. TSH-Quartil 4: OR 1,50 (95%-KI 1,08–2,07). Nicht-lineare Assoziation nachgewiesen. Nach Propensity-Score-Matching (n=684 Paare): OR 1,66 (95%-KI 1,21–2,27). Leicht verfügbare Indizes könnten für Früh-Risikostratifikation nützlich sein.</w:t>
      </w:r>
    </w:p>
    <w:p>
      <w:r>
        <w:rPr>
          <w:b/>
          <w:sz w:val="19"/>
        </w:rPr>
        <w:t xml:space="preserve">Übertragbarkeit: </w:t>
      </w:r>
      <w:r>
        <w:rPr>
          <w:sz w:val="19"/>
        </w:rPr>
        <w:t>China-Daten, aber Endokrinologie-Nierenpathologie universell gültig</w:t>
      </w:r>
    </w:p>
    <w:p>
      <w:r>
        <w:rPr>
          <w:color w:val="5A7D3A"/>
          <w:sz w:val="18"/>
        </w:rPr>
        <w:t>https://pubmed.ncbi.nlm.nih.gov/42755292/</w:t>
      </w:r>
    </w:p>
    <w:p>
      <w:pPr>
        <w:pStyle w:val="Heading2"/>
      </w:pPr>
      <w:r>
        <w:t>Zentralvenöse Katheter bei Dialyse über 80 Jahren erhöhen Sterblichkeit gegenüber arteriovenösen Fisteln um den Faktor 3</w:t>
      </w:r>
    </w:p>
    <w:p>
      <w:r>
        <w:rPr>
          <w:i/>
          <w:color w:val="666666"/>
          <w:sz w:val="18"/>
        </w:rPr>
        <w:t>Park JU et al.  ·  Korean J Intern Med  ·  01.09.2026  ·  PMID 42754529</w:t>
      </w:r>
    </w:p>
    <w:p>
      <w:r>
        <w:t>Koreanische nationale Kohortenstudie mit 79.286 Hämodialysepatienten (2012–2021) zur Mortalität nach Vascular-Access-Typ, stratifiziert nach Alter (inkl. Patienten über 80 Jahren).</w:t>
      </w:r>
    </w:p>
    <w:p>
      <w:r>
        <w:rPr>
          <w:b/>
        </w:rPr>
        <w:t xml:space="preserve">Ergebnis: </w:t>
      </w:r>
      <w:r>
        <w:t>Zentrale venöse Katheter (CVC) assoziiert mit höchster Mortalität. Vs. arteriovenöse Fistel (AVF): aHR 3,54 (95%-KI 3,43–3,65). Auch bei Patienten über 80 Jahren und über 90 Jahren erhöht (aHR 3,30; 95%-KI 3,14–3,47 bzw. 3,18; 95%-KI 2,65–3,82). CVC vs. Graft ebenfalls erhöhtes Risiko über alle Altersgruppen. Hohes Alter sollte keine Kontraindikation für AVF sein – individualisierte Entscheidungen erforderlich.</w:t>
      </w:r>
    </w:p>
    <w:p>
      <w:r>
        <w:rPr>
          <w:b/>
          <w:sz w:val="19"/>
        </w:rPr>
        <w:t xml:space="preserve">Übertragbarkeit: </w:t>
      </w:r>
      <w:r>
        <w:rPr>
          <w:sz w:val="19"/>
        </w:rPr>
        <w:t>Südkorea, Routineversorgungsdaten, Altersdemographie vergleichbar</w:t>
      </w:r>
    </w:p>
    <w:p>
      <w:r>
        <w:rPr>
          <w:color w:val="5A7D3A"/>
          <w:sz w:val="18"/>
        </w:rPr>
        <w:t>https://pubmed.ncbi.nlm.nih.gov/42754529/</w:t>
      </w:r>
    </w:p>
    <w:p>
      <w:pPr>
        <w:pStyle w:val="Heading1"/>
      </w:pPr>
      <w:r>
        <w:t>Aufgenommen am 18.09.2026</w:t>
      </w:r>
    </w:p>
    <w:p>
      <w:pPr>
        <w:pStyle w:val="Heading2"/>
      </w:pPr>
      <w:r>
        <w:t>Salzrestriktion senkte Nierenkomplikationen nur in frühem CKD-Stadium</w:t>
      </w:r>
    </w:p>
    <w:p>
      <w:r>
        <w:rPr>
          <w:i/>
          <w:color w:val="666666"/>
          <w:sz w:val="18"/>
        </w:rPr>
        <w:t>Miyauchi H et al.  ·  Nephrology (Carlton)  ·  Sept. 2026  ·  PMID 42754360</w:t>
      </w:r>
    </w:p>
    <w:p>
      <w:r>
        <w:t>Retrospektive Kohortenstudie mit 462 älteren Patienten (≥75 Jahre) untersuchte Zusammenhang zwischen Salzaufnahme und nierenspezifischen Outcomes nach CKD-Stadium stratifiziert.</w:t>
      </w:r>
    </w:p>
    <w:p>
      <w:r>
        <w:rPr>
          <w:b/>
        </w:rPr>
        <w:t xml:space="preserve">Ergebnis: </w:t>
      </w:r>
      <w:r>
        <w:t>In CKD-Stadium 3: höhere Salzaufnahme mit erhöhtem Risiko assoziiert (aHR 2,70; 95%-KI 1,02–7,12). In Stadien 4–5: keine signifikante Assoziation. Salzrestriktion scheint in frühen CKD-Stadien bei älteren Erwachsenen nutzbringend zu sein.</w:t>
      </w:r>
    </w:p>
    <w:p>
      <w:r>
        <w:rPr>
          <w:b/>
          <w:sz w:val="19"/>
        </w:rPr>
        <w:t xml:space="preserve">Übertragbarkeit: </w:t>
      </w:r>
      <w:r>
        <w:rPr>
          <w:sz w:val="19"/>
        </w:rPr>
        <w:t>Japan; ältere Population, Stadium-spezifische Empfehlung relevant für Deutsche Praxis.</w:t>
      </w:r>
    </w:p>
    <w:p>
      <w:r>
        <w:rPr>
          <w:color w:val="5A7D3A"/>
          <w:sz w:val="18"/>
        </w:rPr>
        <w:t>https://pubmed.ncbi.nlm.nih.gov/42754360/</w:t>
      </w:r>
    </w:p>
    <w:p>
      <w:pPr>
        <w:pStyle w:val="Heading2"/>
      </w:pPr>
      <w:r>
        <w:t>Symptombelastung korrelierte stark negativ mit Lebensqualität bei Chronischen Erkrankungen</w:t>
      </w:r>
    </w:p>
    <w:p>
      <w:r>
        <w:rPr>
          <w:i/>
          <w:color w:val="666666"/>
          <w:sz w:val="18"/>
        </w:rPr>
        <w:t>Shrestha H et al.  ·  Inquiry  ·  17.09.2026  ·  PMID 42751809</w:t>
      </w:r>
    </w:p>
    <w:p>
      <w:r>
        <w:t>Querschnittstudie mit 164 hospitalisierten Erwachsenen mit verschiedenen chronischen Erkrankungen untersuchte Symptombelastung (ESAS-r) und Lebensqualität (SF-36) sowie deren Assoziation.</w:t>
      </w:r>
    </w:p>
    <w:p>
      <w:r>
        <w:rPr>
          <w:b/>
        </w:rPr>
        <w:t xml:space="preserve">Ergebnis: </w:t>
      </w:r>
      <w:r>
        <w:t>92,1 % hatten hohe Symptombelastung (Median 50,5; IQR 40–57,5); 65,9 % berichteten schlechte Lebensqualität. Starke negative Korrelation zwischen Symptombelastung und Lebensqualität (rs=–0,620; 95%-KI [–0,941 bis –0,641]; p&lt;0,001). Symptombelastung war mit Komorbiditäten und Krankenhausaufenthalten signifikant assoziiert.</w:t>
      </w:r>
    </w:p>
    <w:p>
      <w:r>
        <w:rPr>
          <w:b/>
          <w:sz w:val="19"/>
        </w:rPr>
        <w:t xml:space="preserve">Übertragbarkeit: </w:t>
      </w:r>
      <w:r>
        <w:rPr>
          <w:sz w:val="19"/>
        </w:rPr>
        <w:t>Nepal; zeigt universelles Muster bei Mehrfacherkrankung, Screening-Bedarf bei deutschen Chronikern.</w:t>
      </w:r>
    </w:p>
    <w:p>
      <w:r>
        <w:rPr>
          <w:color w:val="5A7D3A"/>
          <w:sz w:val="18"/>
        </w:rPr>
        <w:t>https://pubmed.ncbi.nlm.nih.gov/42751809/</w:t>
      </w:r>
    </w:p>
    <w:p>
      <w:pPr>
        <w:pStyle w:val="Heading2"/>
      </w:pPr>
      <w:r>
        <w:t>Grünflächen verringerten COPD-Risiko um 13–17 Prozent</w:t>
      </w:r>
    </w:p>
    <w:p>
      <w:r>
        <w:rPr>
          <w:i/>
          <w:color w:val="666666"/>
          <w:sz w:val="18"/>
        </w:rPr>
        <w:t>Chen Y et al.  ·  Int J Chron Obstruct Pulmon Dis  ·  12.09.2026  ·  PMID 42751338</w:t>
      </w:r>
    </w:p>
    <w:p>
      <w:r>
        <w:t>Prospektive Kohortenstudie mit 385.502 UK-Biobank-Teilnehmern untersuchte, ob Wohngebiete mit Grün- und Blauflächen das COPD-Inzidenzrisiko senken.</w:t>
      </w:r>
    </w:p>
    <w:p>
      <w:r>
        <w:rPr>
          <w:b/>
        </w:rPr>
        <w:t xml:space="preserve">Ergebnis: </w:t>
      </w:r>
      <w:r>
        <w:t>Höhere Exposition gegenüber Grünflächen (HR 0,87; 95%-KI 0,83–0,92) und natürlicher Umgebung (HR 0,83; 95%-KI 0,78–0,87) waren mit niedrigerem COPD-Risiko verbunden, unabhängig von genetischer Anfälligkeit. Die Assoziation deutet auf präventives Potenzial von Umweltmaßnahmen hin.</w:t>
      </w:r>
    </w:p>
    <w:p>
      <w:r>
        <w:rPr>
          <w:b/>
          <w:sz w:val="19"/>
        </w:rPr>
        <w:t xml:space="preserve">Übertragbarkeit: </w:t>
      </w:r>
      <w:r>
        <w:rPr>
          <w:sz w:val="19"/>
        </w:rPr>
        <w:t>UK-Kohortenstudie; Umweltfaktoren gelten international, Transfer auf Präventionsinfrastruktur hängt von Planung ab.</w:t>
      </w:r>
    </w:p>
    <w:p>
      <w:r>
        <w:rPr>
          <w:color w:val="5A7D3A"/>
          <w:sz w:val="18"/>
        </w:rPr>
        <w:t>https://pubmed.ncbi.nlm.nih.gov/42751338/</w:t>
      </w:r>
    </w:p>
    <w:p>
      <w:pPr>
        <w:pStyle w:val="Heading2"/>
      </w:pPr>
      <w:r>
        <w:t>Höhere Ballaststoffaufnahme senkte COPD-Prävalenz und Entzündungsmarker</w:t>
      </w:r>
    </w:p>
    <w:p>
      <w:r>
        <w:rPr>
          <w:i/>
          <w:color w:val="666666"/>
          <w:sz w:val="18"/>
        </w:rPr>
        <w:t>Tu X et al.  ·  Int J Chron Obstruct Pulmon Dis  ·  11.09.2026  ·  PMID 42751152</w:t>
      </w:r>
    </w:p>
    <w:p>
      <w:r>
        <w:t>Zweistufige epidemiologische und klinische Kohortenstudie (NHANES 2013–2018 und 331 klinische Teilnehmer) untersuchte Assoziation zwischen Ballaststoffaufnahme und COPD sowie Entzündungsmarkern und zirkulierendem Lipopolysaccharid.</w:t>
      </w:r>
    </w:p>
    <w:p>
      <w:r>
        <w:rPr>
          <w:b/>
        </w:rPr>
        <w:t xml:space="preserve">Ergebnis: </w:t>
      </w:r>
      <w:r>
        <w:t>NHANES: höhere energieadjustierte Ballaststoffaufnahme war mit niedrigerer COPD-Prävalenz assoziiert. Klinische Kohorte: höhere Ballaststoffaufnahme bei COPD-Patienten korrelierte mit niedrigeren Entzündungsmarkern und zirkulierendem LPS. WBC und Neutrophile zeigten statistische Signifikanz mit jeweils 1,36 % und 4,22 % indirektem Effekt.</w:t>
      </w:r>
    </w:p>
    <w:p>
      <w:r>
        <w:rPr>
          <w:b/>
          <w:sz w:val="19"/>
        </w:rPr>
        <w:t xml:space="preserve">Übertragbarkeit: </w:t>
      </w:r>
      <w:r>
        <w:rPr>
          <w:sz w:val="19"/>
        </w:rPr>
        <w:t>USA (NHANES) und klinische Kohortendaten; Ernährungsintervention ist übertragbar, prospektive Studien erforderlich.</w:t>
      </w:r>
    </w:p>
    <w:p>
      <w:r>
        <w:rPr>
          <w:color w:val="5A7D3A"/>
          <w:sz w:val="18"/>
        </w:rPr>
        <w:t>https://pubmed.ncbi.nlm.nih.gov/42751152/</w:t>
      </w:r>
    </w:p>
    <w:p>
      <w:pPr>
        <w:pStyle w:val="Heading2"/>
      </w:pPr>
      <w:r>
        <w:t>HIV/Hepatitis-B-Koinfektion verschlechterte Lebensqualität erheblich</w:t>
      </w:r>
    </w:p>
    <w:p>
      <w:r>
        <w:rPr>
          <w:i/>
          <w:color w:val="666666"/>
          <w:sz w:val="18"/>
        </w:rPr>
        <w:t>Okeke E et al.  ·  BMC Infect Dis  ·  07.08.2026  ·  PMID 42750015</w:t>
      </w:r>
    </w:p>
    <w:p>
      <w:r>
        <w:t>Querschnittsanalyse von 884 Erwachsenen mit chronischer Hepatitis B in West- und Zentralafrika untersuchte gesundheitsbezogene Lebensqualität (SF-36) stratifiziert nach Behandlungsstatus und HIV-Status.</w:t>
      </w:r>
    </w:p>
    <w:p>
      <w:r>
        <w:rPr>
          <w:b/>
        </w:rPr>
        <w:t xml:space="preserve">Ergebnis: </w:t>
      </w:r>
      <w:r>
        <w:t>Mittlere Lebensqualität 77,8 (SD 16,9) insgesamt, aber signifikant niedriger bei HIV/HBV-Koinfektion unbehandelt (59,38 vs. 80,56 bei HBV-monoinfiziert; p&lt;0,01). Erhöhte Fibrosescores, Komorbiditäten und höheres Alter waren mit schlechterer Lebensqualität assoziiert; Energie war am meisten beeinträchtigt.</w:t>
      </w:r>
    </w:p>
    <w:p>
      <w:r>
        <w:rPr>
          <w:b/>
          <w:sz w:val="19"/>
        </w:rPr>
        <w:t xml:space="preserve">Übertragbarkeit: </w:t>
      </w:r>
      <w:r>
        <w:rPr>
          <w:sz w:val="19"/>
        </w:rPr>
        <w:t>Subsaharische Länder mit hoher HBV/HIV-Prävalenz; zeigt Bedarf für integrierte Versorgung auch bei deutscher Mehrfacherkrankung.</w:t>
      </w:r>
    </w:p>
    <w:p>
      <w:r>
        <w:rPr>
          <w:color w:val="5A7D3A"/>
          <w:sz w:val="18"/>
        </w:rPr>
        <w:t>https://pubmed.ncbi.nlm.nih.gov/42750015/</w:t>
      </w:r>
    </w:p>
    <w:p>
      <w:pPr>
        <w:pStyle w:val="Heading2"/>
      </w:pPr>
      <w:r>
        <w:t>Gemeindevolontäre steigerten Hepatitis-B-Therapietreue um 25 Prozentpunkte</w:t>
      </w:r>
    </w:p>
    <w:p>
      <w:r>
        <w:rPr>
          <w:i/>
          <w:color w:val="666666"/>
          <w:sz w:val="18"/>
        </w:rPr>
        <w:t>Western Pac Surveill Response J  ·  15.07.2026  ·  PMID 42746034</w:t>
      </w:r>
    </w:p>
    <w:p>
      <w:r>
        <w:t>Pilotstudie in Kiribati testete Gemeindevolontäre zur Verbesserung der Adhärenz zur Hepatitis-B-Antivirentherapie bei schwangeren Frauen und Patienten mit Zirrhose von Januar bis August 2025.</w:t>
      </w:r>
    </w:p>
    <w:p>
      <w:r>
        <w:rPr>
          <w:b/>
        </w:rPr>
        <w:t xml:space="preserve">Ergebnis: </w:t>
      </w:r>
      <w:r>
        <w:t>Therapietreue war 77,4 % in der Interventionsgruppe vs. 52,5 % in der Kontrollgruppe (p&lt;0,001); bei schwangeren Frauen 89,7 %; Adhärenz &gt;80 % erreichten 58,8 % der Intervention vs. 34,1 % der Kontrollen (p=0,0012). Die Strategie ist vielversprechend, aber vorläufig ohne Matching zwischen Gruppen.</w:t>
      </w:r>
    </w:p>
    <w:p>
      <w:r>
        <w:rPr>
          <w:b/>
          <w:sz w:val="19"/>
        </w:rPr>
        <w:t xml:space="preserve">Übertragbarkeit: </w:t>
      </w:r>
      <w:r>
        <w:rPr>
          <w:sz w:val="19"/>
        </w:rPr>
        <w:t>Pazifikischer Inselstaat mit hoher Prävalenz; Modell könnte auch andere chronische Erkrankungen erreichen, Transfer hängt von lokalen Ressourcen ab.</w:t>
      </w:r>
    </w:p>
    <w:p>
      <w:r>
        <w:rPr>
          <w:color w:val="5A7D3A"/>
          <w:sz w:val="18"/>
        </w:rPr>
        <w:t>https://pubmed.ncbi.nlm.nih.gov/42746034/</w:t>
      </w:r>
    </w:p>
    <w:p>
      <w:pPr>
        <w:pStyle w:val="Heading2"/>
      </w:pPr>
      <w:r>
        <w:t>SP16-Behandlung könnte Akute-Nierenschädigung bei Herzoperation verhindern</w:t>
      </w:r>
    </w:p>
    <w:p>
      <w:r>
        <w:rPr>
          <w:i/>
          <w:color w:val="666666"/>
          <w:sz w:val="18"/>
        </w:rPr>
        <w:t>Jobst-Schwan T et al.  ·  Trials  ·  28.08.2026  ·  PMID 42665834</w:t>
      </w:r>
    </w:p>
    <w:p>
      <w:r>
        <w:t>Phase-IIa-Studie prüft Sicherheit und Wirksamkeit von SP16 (LRP1-Agonist) zur Prävention akuter Nierenschädigung bei 120 Hochrisiko-Patienten mit chronischer Nierenkrankheit unter Herzoperation.</w:t>
      </w:r>
    </w:p>
    <w:p>
      <w:r>
        <w:rPr>
          <w:b/>
        </w:rPr>
        <w:t xml:space="preserve">Ergebnis: </w:t>
      </w:r>
      <w:r>
        <w:t>Geplante Primärendpunkte: Inzidenz akuter Nierenschädigung innerhalb 7 Tage postoperativ und Häufigkeit von Nebenwirkungen in 72 h. Rekrutierung geplant ab August 2026; Phase-IIa-Ergebnisse ausstehend. Frühe Phase-I-Sicherheit war gegeben.</w:t>
      </w:r>
    </w:p>
    <w:p>
      <w:r>
        <w:rPr>
          <w:b/>
          <w:sz w:val="19"/>
        </w:rPr>
        <w:t xml:space="preserve">Übertragbarkeit: </w:t>
      </w:r>
      <w:r>
        <w:rPr>
          <w:sz w:val="19"/>
        </w:rPr>
        <w:t>Deutsches Zentrum (Erlangen); experimentelles Stadium, externe Validierung erforderlich.</w:t>
      </w:r>
    </w:p>
    <w:p>
      <w:r>
        <w:rPr>
          <w:color w:val="5A7D3A"/>
          <w:sz w:val="18"/>
        </w:rPr>
        <w:t>https://pubmed.ncbi.nlm.nih.gov/42665834/</w:t>
      </w:r>
    </w:p>
    <w:p>
      <w:pPr>
        <w:pStyle w:val="Heading1"/>
      </w:pPr>
      <w:r>
        <w:t>Aufgenommen am 17.09.2026</w:t>
      </w:r>
    </w:p>
    <w:p>
      <w:pPr>
        <w:pStyle w:val="Heading2"/>
      </w:pPr>
      <w:r>
        <w:t>Orale Mehrfacherkrankungen bei älteren Menschen erfordern differenzierte Zahngesundheits-Strategien</w:t>
      </w:r>
    </w:p>
    <w:p>
      <w:r>
        <w:rPr>
          <w:i/>
          <w:color w:val="666666"/>
          <w:sz w:val="18"/>
        </w:rPr>
        <w:t>Jiang L et al.  ·  Clin Interv Aging  ·  11.09.2026  ·  PMID 42746399</w:t>
      </w:r>
    </w:p>
    <w:p>
      <w:r>
        <w:t>Latente-Klassen-Analyse identifizierte unterschiedliche Muster oraler Mehrfacherkrankung (Karies, Zahnfleischerkrankung, Zahnverlust) bei 423 älteren Chinesen (65–74 Jahre) und untersuchte soziale Determinanten der Klassenzugehörigkeit.</w:t>
      </w:r>
    </w:p>
    <w:p>
      <w:r>
        <w:rPr>
          <w:b/>
        </w:rPr>
        <w:t xml:space="preserve">Ergebnis: </w:t>
      </w:r>
      <w:r>
        <w:t>Drei Subtypen wurden identifiziert: Klasse 1 (23,9 %, niedrige Erkrankungslast); Klasse 2 (41,6 %, parodontaldominant mit schwerem Zahnverlust); Klasse 3 (34,5 %, kariesdominant). Älterung, Rauchen und Zahnarztbesuche waren assoziiert mit Klasse 2. Älterung, weibliches Geschlecht, urbaner Wohnort und Zahnarztbesuche waren mit Klasse 3 verbunden. Die Befunde legen subtyp-spezifische statt einheitlicher Zahngesundheitsstrategien nahe und zeigen, dass orale Mehrfacherkrankung unter älteren Menschen heterogen ist.</w:t>
      </w:r>
    </w:p>
    <w:p>
      <w:r>
        <w:rPr>
          <w:b/>
          <w:sz w:val="19"/>
        </w:rPr>
        <w:t xml:space="preserve">Übertragbarkeit: </w:t>
      </w:r>
      <w:r>
        <w:rPr>
          <w:sz w:val="19"/>
        </w:rPr>
        <w:t>China, aber methodisches Vorbild für Mehrfacherkrankungs-Phänotypisierung in allen Ländern übertragbar</w:t>
      </w:r>
    </w:p>
    <w:p>
      <w:r>
        <w:rPr>
          <w:color w:val="5A7D3A"/>
          <w:sz w:val="18"/>
        </w:rPr>
        <w:t>https://pubmed.ncbi.nlm.nih.gov/42746399/</w:t>
      </w:r>
    </w:p>
    <w:p>
      <w:pPr>
        <w:pStyle w:val="Heading2"/>
      </w:pPr>
      <w:r>
        <w:t>Post-Hepatitis-C-Lebersteifheit prognostiziert Dekompensation stärker als deren Veränderung</w:t>
      </w:r>
    </w:p>
    <w:p>
      <w:r>
        <w:rPr>
          <w:i/>
          <w:color w:val="666666"/>
          <w:sz w:val="18"/>
        </w:rPr>
        <w:t>Cerini F et al.  ·  Liver Int  ·  Okt. 2026  ·  PMID 42745428</w:t>
      </w:r>
    </w:p>
    <w:p>
      <w:r>
        <w:t>Retrospektive Kohortenstudie bei 135 Patienten mit HCV-bedingter kompensierter fortgeschrittener Lebererkrankung, die eine direkt wirkende antivirale Therapie (DAA) erhielten, prüfte, ob absolute post-SVR-Lebersteifheit (LSM) oder deren Veränderung den Verlauf nach Viruseradikation besser prognostizieren.</w:t>
      </w:r>
    </w:p>
    <w:p>
      <w:r>
        <w:rPr>
          <w:b/>
        </w:rPr>
        <w:t xml:space="preserve">Ergebnis: </w:t>
      </w:r>
      <w:r>
        <w:t>Bei medianer 60 Monate (95%-KI 52–69) Nachverfolgung entwickelten 8 % (11/135) leberbezogene Ereignisse. Absolute post-Therapie-LSM zeigte bessere diskriminative Fähigkeit (tAUC Jahr 2: 0,86; Jahr 3: 0,82) als deren Veränderung. Follow-up-LSM &gt; 20 kPa war unabhängig mit leberbezogenen Ereignissen assoziiert (SHR 5,61; p = 0,007), während Baveno-VII-Kriterien für LSM-Regression nicht signifikant waren (p = 0,097). Dies unterstützt wiederholte post-SVR-LSM-Bewertung zur Risikostratifizierung.</w:t>
      </w:r>
    </w:p>
    <w:p>
      <w:r>
        <w:rPr>
          <w:b/>
          <w:sz w:val="19"/>
        </w:rPr>
        <w:t xml:space="preserve">Übertragbarkeit: </w:t>
      </w:r>
      <w:r>
        <w:rPr>
          <w:sz w:val="19"/>
        </w:rPr>
        <w:t>Schweiz (Bern), deutschsprachiger Raum, vergleichbare hepatologische Versorgungsstandards</w:t>
      </w:r>
    </w:p>
    <w:p>
      <w:r>
        <w:rPr>
          <w:color w:val="5A7D3A"/>
          <w:sz w:val="18"/>
        </w:rPr>
        <w:t>https://pubmed.ncbi.nlm.nih.gov/42745428/</w:t>
      </w:r>
    </w:p>
    <w:p>
      <w:pPr>
        <w:pStyle w:val="Heading2"/>
      </w:pPr>
      <w:r>
        <w:t>Retrograde Datenerfassung zu pädiatrischen Patienten mit CKD-Anämie ermöglicht Registerstudie</w:t>
      </w:r>
    </w:p>
    <w:p>
      <w:r>
        <w:rPr>
          <w:i/>
          <w:color w:val="666666"/>
          <w:sz w:val="18"/>
        </w:rPr>
        <w:t>Mountcastle S et al.  ·  BMC Nephrol  ·  27.08.2026  ·  PMID 42717324</w:t>
      </w:r>
    </w:p>
    <w:p>
      <w:r>
        <w:t>Machbarkeitsstudie zur Durchführbarkeit der retrospektiven Erhebung klinischer Charakteristika, Behandlungshistorie und Nebenwirkungen bei pädiatrischen Dialyse-Patienten mit Anämie aus Krankenakten in UK und USA.</w:t>
      </w:r>
    </w:p>
    <w:p>
      <w:r>
        <w:rPr>
          <w:b/>
        </w:rPr>
        <w:t xml:space="preserve">Ergebnis: </w:t>
      </w:r>
      <w:r>
        <w:t>Unter 50 eingeschlossenen Patienten (36 UK, 14 USA, Median 9 Jahre) lag die mittlere Hemoglobin-Baseline bei 10,0 (2,0) g/dL. 46 % erhielten Eisentherapie mit der erythropoese-stimulierenden Therapie. Die mediane Nachverfolgung betrug 52,1 Wochen; 20 unerwünschte Ereignisse traten bei 9 (18 %) Patienten auf (alle schwerwiegend). Die Studie demonstrierte Machbarkeit, aus medizinischen Unterlagen klinische Charakteristika, Behandlungshistorie und Nebenwirkungen bei pädiatrischen Patienten mit CKD-Anämie zu erfassen.</w:t>
      </w:r>
    </w:p>
    <w:p>
      <w:r>
        <w:rPr>
          <w:b/>
          <w:sz w:val="19"/>
        </w:rPr>
        <w:t xml:space="preserve">Übertragbarkeit: </w:t>
      </w:r>
      <w:r>
        <w:rPr>
          <w:sz w:val="19"/>
        </w:rPr>
        <w:t>UK und USA, begrenzte Übertragbarkeit auf Deutschland; wesentlich für internationale Vergleichbarkeit von Pädiatrie-Versorgung</w:t>
      </w:r>
    </w:p>
    <w:p>
      <w:r>
        <w:rPr>
          <w:color w:val="5A7D3A"/>
          <w:sz w:val="18"/>
        </w:rPr>
        <w:t>https://pubmed.ncbi.nlm.nih.gov/42717324/</w:t>
      </w:r>
    </w:p>
    <w:p>
      <w:pPr>
        <w:pStyle w:val="Heading2"/>
      </w:pPr>
      <w:r>
        <w:t>Multimorbidität-Muster beeinflussen Therapieerfolg bei älteren Menschen mit Frailty</w:t>
      </w:r>
    </w:p>
    <w:p>
      <w:r>
        <w:rPr>
          <w:i/>
          <w:color w:val="666666"/>
          <w:sz w:val="18"/>
        </w:rPr>
        <w:t>Vetrano DL et al.  ·  Nat Aging  ·  31.08.2026  ·  PMID 42675189</w:t>
      </w:r>
    </w:p>
    <w:p>
      <w:r>
        <w:t>Die Studie prüfte, ob die Wirksamkeit eines multikomponentalen Lebensstil-Interventionsprogramms (körperliche Aktivität mit technologischer Unterstützung und Ernährungsberatung) bei älteren Menschen mit Frailty und Mehrfacherkrankungen je nach Erkrankungsmuster variiert.</w:t>
      </w:r>
    </w:p>
    <w:p>
      <w:r>
        <w:rPr>
          <w:b/>
        </w:rPr>
        <w:t xml:space="preserve">Ergebnis: </w:t>
      </w:r>
      <w:r>
        <w:t>Insgesamt reduzierte die Intervention das Risiko für Mobilitätsbehinderung oder Tod um 22 % (HR 0,78; 95%-KI 0,66–0,92). Bei Patienten mit psychiatrischem Erkrankungsmuster war der Nutzen besonders groß (HR 0,65; 95%-KI 0,47–0,92); diese Gruppe gewann im Median 3,09 Monate ohne Mobilitätseinschränkung oder Tod. Bei kardio-metabolischen und respiratorischen Mustern zeigten sich keine statistisch signifikanten Unterschiede. Dies zeigt, dass Erkrankungsmuster die Therapieansprechbarkeit beeinflussen und Risikostratifizierung für präventive Maßnahmen wichtig ist.</w:t>
      </w:r>
    </w:p>
    <w:p>
      <w:r>
        <w:rPr>
          <w:b/>
          <w:sz w:val="19"/>
        </w:rPr>
        <w:t xml:space="preserve">Übertragbarkeit: </w:t>
      </w:r>
      <w:r>
        <w:rPr>
          <w:sz w:val="19"/>
        </w:rPr>
        <w:t>Europäische Studie (Italien, Schweden, Deutschland), vergleichbare Struktur von Versorgung und Vorsorge</w:t>
      </w:r>
    </w:p>
    <w:p>
      <w:r>
        <w:rPr>
          <w:color w:val="5A7D3A"/>
          <w:sz w:val="18"/>
        </w:rPr>
        <w:t>https://pubmed.ncbi.nlm.nih.gov/42675189/</w:t>
      </w:r>
    </w:p>
    <w:p>
      <w:pPr>
        <w:pStyle w:val="Heading2"/>
      </w:pPr>
      <w:r>
        <w:t>Strukturierte COPD-Versorgung mit früher Diagnose und Triple-Inhalation senkt Mortalität</w:t>
      </w:r>
    </w:p>
    <w:p>
      <w:r>
        <w:rPr>
          <w:i/>
          <w:color w:val="666666"/>
          <w:sz w:val="18"/>
        </w:rPr>
        <w:t>Rogliani P et al.  ·  Intern Emerg Med  ·  21.08.2026  ·  PMID 42629534</w:t>
      </w:r>
    </w:p>
    <w:p>
      <w:r>
        <w:t>Italienische Expertengruppe entwickelte praktische Empfehlungen zur Optimierung der COPD-Versorgung im italienischen Gesundheitssystem, basierend auf aktuellen Daten und dem Problem der Unterdiagnose.</w:t>
      </w:r>
    </w:p>
    <w:p>
      <w:r>
        <w:rPr>
          <w:b/>
        </w:rPr>
        <w:t xml:space="preserve">Ergebnis: </w:t>
      </w:r>
      <w:r>
        <w:t>Die Empfehlungen betonen: (1) strukturierte Fallsuche in Hausarztpraxen mit Spirometrie zur frühen Diagnose; (2) Standardisierung der Identifikation unkontrollierter Patienten durch Symptom-Scores und indirekte Marker (rezidivierende Antibiotika- oder Kortikosteroid-Nutzung); (3) Single-Inhaler-Triple-Therapie (SITT) als einzige pharmakologische Strategie, die nachweislich Exazerbationen und Gesamtmortalität bei Hochrisikopatienten senkt. Die Auswirkung auf kardiopulmonale Dekompensation wird diskutiert. Ein integrierter Versorgungspfad und Überwindung therapeutischer Trägheit sind zentral.</w:t>
      </w:r>
    </w:p>
    <w:p>
      <w:r>
        <w:rPr>
          <w:b/>
          <w:sz w:val="19"/>
        </w:rPr>
        <w:t xml:space="preserve">Übertragbarkeit: </w:t>
      </w:r>
      <w:r>
        <w:rPr>
          <w:sz w:val="19"/>
        </w:rPr>
        <w:t>Italien, vergleichbare Verbraucherperspektive und Dokumentationssysteme wie Deutschland</w:t>
      </w:r>
    </w:p>
    <w:p>
      <w:r>
        <w:rPr>
          <w:color w:val="5A7D3A"/>
          <w:sz w:val="18"/>
        </w:rPr>
        <w:t>https://pubmed.ncbi.nlm.nih.gov/42629534/</w:t>
      </w:r>
    </w:p>
    <w:p>
      <w:pPr>
        <w:pStyle w:val="Heading2"/>
      </w:pPr>
      <w:r>
        <w:t>Retinale Gefäßzeichen vorhersagen Depressionsrisiko und nachfolgende chronische Erkrankungen</w:t>
      </w:r>
    </w:p>
    <w:p>
      <w:r>
        <w:rPr>
          <w:i/>
          <w:color w:val="666666"/>
          <w:sz w:val="18"/>
        </w:rPr>
        <w:t>Wang Y et al.  ·  J Affect Disord  ·  01.12.2026  ·  PMID 42551563</w:t>
      </w:r>
    </w:p>
    <w:p>
      <w:r>
        <w:t>Longitudinale Kohortenstudie untersuchte, ob retinale Gefäßstrukturen (quantifiziert aus Fundusphotographien) das Risiko für künftige Depression und darauffolgende chronische Erkrankungen in der UK Biobank vorhersagen.</w:t>
      </w:r>
    </w:p>
    <w:p>
      <w:r>
        <w:rPr>
          <w:b/>
        </w:rPr>
        <w:t xml:space="preserve">Ergebnis: </w:t>
      </w:r>
      <w:r>
        <w:t>Über mittlere 11,3 Jahre Follow-up waren breitere retinale Venen mit erhöhtem Depressionsrisiko assoziiert (zentrales retinales Venenäquivalent: HR 1,25, 95%-KI 1,06–1,48; Venenbreite: HR 1,31, 95%-KI 1,12–1,54). Bei 1.507 Patienten mit Depression ohne vorbestehende chronische Erkrankungen war niedrigere arterielle Gefäßdichte mit erhöhtem Gesamtrisiko für chronische Erkrankung assoziiert (HR 0,71, 95%-KI 0,54–0,95), während erhöhte retinale Gefäßtortuosität mit kardiovaskulärem Risiko verbunden war (HR 2,24–1,90). Retinale Gefäßneuroimaging könnte als nicht-invasiver Biomarker-Kandidat für Risikostratifizierung dienen.</w:t>
      </w:r>
    </w:p>
    <w:p>
      <w:r>
        <w:rPr>
          <w:b/>
          <w:sz w:val="19"/>
        </w:rPr>
        <w:t xml:space="preserve">Übertragbarkeit: </w:t>
      </w:r>
      <w:r>
        <w:rPr>
          <w:sz w:val="19"/>
        </w:rPr>
        <w:t>UK Biobank mit standardisierter digitaler Bildgebung, übertragbar auf deutsche Versorgungsforschung mit Screeningpotenzialen</w:t>
      </w:r>
    </w:p>
    <w:p>
      <w:r>
        <w:rPr>
          <w:color w:val="5A7D3A"/>
          <w:sz w:val="18"/>
        </w:rPr>
        <w:t>https://pubmed.ncbi.nlm.nih.gov/42551563/</w:t>
      </w:r>
    </w:p>
    <w:p>
      <w:pPr>
        <w:pStyle w:val="Heading1"/>
      </w:pPr>
      <w:r>
        <w:t>Aufgenommen am 16.09.2026</w:t>
      </w:r>
    </w:p>
    <w:p>
      <w:pPr>
        <w:pStyle w:val="Heading2"/>
      </w:pPr>
      <w:r>
        <w:t>Case Finding für COPD nach Lungenkrebs-Screening wird von Patienten akzeptiert</w:t>
      </w:r>
    </w:p>
    <w:p>
      <w:r>
        <w:rPr>
          <w:i/>
          <w:color w:val="666666"/>
          <w:sz w:val="18"/>
        </w:rPr>
        <w:t>Phillips OR et al.  ·  BMJ Open Respir Res  ·  15.09.2026  ·  PMID 42744412</w:t>
      </w:r>
    </w:p>
    <w:p>
      <w:r>
        <w:t>Qualitative Studie mit 15 teilstrukturierten Interviews: Untersuchung der Wahrnehmung von Patienten zum Case Finding für COPD nach Lungenkrebs-Screening mittels mobiler Forschungseinheit in Nottinghamshire.</w:t>
      </w:r>
    </w:p>
    <w:p>
      <w:r>
        <w:rPr>
          <w:b/>
        </w:rPr>
        <w:t xml:space="preserve">Ergebnis: </w:t>
      </w:r>
      <w:r>
        <w:t>Kernfaktoren für positive Bewertung: Lob für klinisches Personal, Zugänglichkeit und Atmosphäre der Forschungseinheit sowie Zweckmäßigkeit des Case Finding. Hauptproblem: Mangelnde Kommunikation mit Hausarztpraxen in den Wochen nach der Bewertung. Teilnehmer befürworteten eine landesweite Ausweitung des Ansatzes.</w:t>
      </w:r>
    </w:p>
    <w:p>
      <w:r>
        <w:rPr>
          <w:b/>
          <w:sz w:val="19"/>
        </w:rPr>
        <w:t xml:space="preserve">Übertragbarkeit: </w:t>
      </w:r>
      <w:r>
        <w:rPr>
          <w:sz w:val="19"/>
        </w:rPr>
        <w:t>UK (England), vergleichbar mit deutschem primärversorgtem System.</w:t>
      </w:r>
    </w:p>
    <w:p>
      <w:r>
        <w:rPr>
          <w:color w:val="5A7D3A"/>
          <w:sz w:val="18"/>
        </w:rPr>
        <w:t>https://pubmed.ncbi.nlm.nih.gov/42744412/</w:t>
      </w:r>
    </w:p>
    <w:p>
      <w:pPr>
        <w:pStyle w:val="Heading2"/>
      </w:pPr>
      <w:r>
        <w:t>Pharmazeut-geführte Interventionen verbessern Adhärenz zu Phosphatbindern und Phosphorkontrolle</w:t>
      </w:r>
    </w:p>
    <w:p>
      <w:r>
        <w:rPr>
          <w:i/>
          <w:color w:val="666666"/>
          <w:sz w:val="18"/>
        </w:rPr>
        <w:t>Trapp A et al.  ·  Nephrol Nurs J  ·  Juli 2026  ·  PMID 42742309</w:t>
      </w:r>
    </w:p>
    <w:p>
      <w:r>
        <w:t>Prospektive dreiphasige Studie: Evaluierung von pharmazeut-geführten Interventionen auf die Einhaltung von Phosphatbinder-Therapie und Phosphorkontrolle in einer Dialyse-Population mit Hemo-, Peritoneal- und Heimdialyse.</w:t>
      </w:r>
    </w:p>
    <w:p>
      <w:r>
        <w:rPr>
          <w:b/>
        </w:rPr>
        <w:t xml:space="preserve">Ergebnis: </w:t>
      </w:r>
      <w:r>
        <w:t>Pharmazeut-Integration in das Programm führte zu verbesserter Adhärenz, besserer Phosphorkontrolle und reduzierten Diskrepanzen in der Medikation. Das Programm verbesserte auch Ergebnisse und Workflow-Effizienz.</w:t>
      </w:r>
    </w:p>
    <w:p>
      <w:r>
        <w:rPr>
          <w:b/>
          <w:sz w:val="19"/>
        </w:rPr>
        <w:t xml:space="preserve">Übertragbarkeit: </w:t>
      </w:r>
      <w:r>
        <w:rPr>
          <w:sz w:val="19"/>
        </w:rPr>
        <w:t>USA (Oregon, Montana), aber Adhärenz-Intervention auf deutsches Dialyse-System übertragbar.</w:t>
      </w:r>
    </w:p>
    <w:p>
      <w:r>
        <w:rPr>
          <w:color w:val="5A7D3A"/>
          <w:sz w:val="18"/>
        </w:rPr>
        <w:t>https://pubmed.ncbi.nlm.nih.gov/42742309/</w:t>
      </w:r>
    </w:p>
    <w:p>
      <w:pPr>
        <w:pStyle w:val="Heading2"/>
      </w:pPr>
      <w:r>
        <w:t>Frühere Exazerbationen und höhere GOLD-Grade sagen künftige COPD-Exazerbationen voraus</w:t>
      </w:r>
    </w:p>
    <w:p>
      <w:r>
        <w:rPr>
          <w:i/>
          <w:color w:val="666666"/>
          <w:sz w:val="18"/>
        </w:rPr>
        <w:t>Song Q et al.  ·  Ann Med  ·  15.09.2026  ·  PMID 42741955</w:t>
      </w:r>
    </w:p>
    <w:p>
      <w:r>
        <w:t>Retrospektive Kohortenstudie an 1.076 COPD-Patienten unter Doppeltherapie (LABA/LAMA): Analyse von Risikofaktoren für zukünftige Exazerbationen während einjähriger Nachverfolgung.</w:t>
      </w:r>
    </w:p>
    <w:p>
      <w:r>
        <w:rPr>
          <w:b/>
        </w:rPr>
        <w:t xml:space="preserve">Ergebnis: </w:t>
      </w:r>
      <w:r>
        <w:t>284 Patienten (26,4%) erlebten während der Nachverfolgung Exazerbationen. Unabhängige Risikofaktoren: GOLD-Grade 3–4 (OR 1,343, 95%-KI 1,016–1,776), eine Exazerbation im Vorjahr (OR 1,763, 95%-KI 1,248–2,489) und ≥2 Exazerbationen im Vorjahr (OR 2,514, 95%-KI 1,792–3,525). In der Subgruppe mit Hypertonie (Gruppe B) war die Hypertonie ebenfalls Risikofaktor (OR 3,400).</w:t>
      </w:r>
    </w:p>
    <w:p>
      <w:r>
        <w:rPr>
          <w:b/>
          <w:sz w:val="19"/>
        </w:rPr>
        <w:t xml:space="preserve">Übertragbarkeit: </w:t>
      </w:r>
      <w:r>
        <w:rPr>
          <w:sz w:val="19"/>
        </w:rPr>
        <w:t>China, aber COPD-Klassifikation nach GOLD international standardisiert.</w:t>
      </w:r>
    </w:p>
    <w:p>
      <w:r>
        <w:rPr>
          <w:color w:val="5A7D3A"/>
          <w:sz w:val="18"/>
        </w:rPr>
        <w:t>https://pubmed.ncbi.nlm.nih.gov/42741955/</w:t>
      </w:r>
    </w:p>
    <w:p>
      <w:pPr>
        <w:pStyle w:val="Heading2"/>
      </w:pPr>
      <w:r>
        <w:t>CKD-Prävalenz stabil, aber Komorbiditäten zeigen divergente Trends über 20 Jahre</w:t>
      </w:r>
    </w:p>
    <w:p>
      <w:r>
        <w:rPr>
          <w:i/>
          <w:color w:val="666666"/>
          <w:sz w:val="18"/>
        </w:rPr>
        <w:t>Farag YM et al.  ·  Ren Fail  ·  14.09.2026  ·  PMID 42736589</w:t>
      </w:r>
    </w:p>
    <w:p>
      <w:r>
        <w:t>Trend-Analyse von 1999–2018 mit NHANES-Daten: Untersuchung der CKD-Prävalenz und neun Komorbiditäten (Adipositas, Diabetes, Hypertonie, Anämie etc.) nach eGFR- und Albuminurie-Kategorien.</w:t>
      </w:r>
    </w:p>
    <w:p>
      <w:r>
        <w:rPr>
          <w:b/>
        </w:rPr>
        <w:t xml:space="preserve">Ergebnis: </w:t>
      </w:r>
      <w:r>
        <w:t>CKD-Prävalenz stabil bei 20% bei Erwachsenen ≥20 Jahren. Adipositas und Diabetes nahmen signifikant zu, Hypertonie, Anämie, Hyperkalämie und kardiovaskuläre Erkrankung blieben stabil. Hypertriglyzeridämie und Hypercholesterinämie zeigten initialen Anstieg, dann Plateau. Ungleiche Verteilung der Komorbiditäten über KDIGO-eGFR- und Albuminurie-Unterkategorien, mit erhöhtem Risiko in G3bA2- und G4A1-Patienten.</w:t>
      </w:r>
    </w:p>
    <w:p>
      <w:r>
        <w:rPr>
          <w:b/>
          <w:sz w:val="19"/>
        </w:rPr>
        <w:t xml:space="preserve">Übertragbarkeit: </w:t>
      </w:r>
      <w:r>
        <w:rPr>
          <w:sz w:val="19"/>
        </w:rPr>
        <w:t>USA, aber KDIGO-Klassifikation international standardisiert; Epidemiologie informativ für Ressourcenplanung in Deutschland.</w:t>
      </w:r>
    </w:p>
    <w:p>
      <w:r>
        <w:rPr>
          <w:color w:val="5A7D3A"/>
          <w:sz w:val="18"/>
        </w:rPr>
        <w:t>https://pubmed.ncbi.nlm.nih.gov/42736589/</w:t>
      </w:r>
    </w:p>
    <w:p>
      <w:pPr>
        <w:pStyle w:val="Heading2"/>
      </w:pPr>
      <w:r>
        <w:t>Mehrfacherkrankung verschärft sich durch Einsamkeit und soziale Inaktivität</w:t>
      </w:r>
    </w:p>
    <w:p>
      <w:r>
        <w:rPr>
          <w:i/>
          <w:color w:val="666666"/>
          <w:sz w:val="18"/>
        </w:rPr>
        <w:t>Zhou Y et al.  ·  Nat Commun  ·  15.08.2026  ·  PMID 42736300</w:t>
      </w:r>
    </w:p>
    <w:p>
      <w:r>
        <w:t>Längsschnittstudie in 19 Ländern an Personen ab 45 Jahren: Untersucht wurden bidirektionale Assoziationen zwischen körperlicher Mehrfacherkrankung und Einsamkeit sowie die vermittelnde Rolle sozialer Inaktivität.</w:t>
      </w:r>
    </w:p>
    <w:p>
      <w:r>
        <w:rPr>
          <w:b/>
        </w:rPr>
        <w:t xml:space="preserve">Ergebnis: </w:t>
      </w:r>
      <w:r>
        <w:t>Mehrfacherkrankung erhöhte das Risiko für Einsamkeit (adjustierte HR 1,25, 95%-KI 1,20–1,30). Einsamkeit erhöhte wiederum das Risiko für Mehrfacherkrankung (adjustierte HR 1,10, 95%-KI 1,05–1,17). Soziale Inaktivität vermittelte diese Assoziation teilweise. Diese Befunde deuten auf einen Teufelskreis hin, in dem jede Erkrankung die andere verschärft.</w:t>
      </w:r>
    </w:p>
    <w:p>
      <w:r>
        <w:rPr>
          <w:b/>
          <w:sz w:val="19"/>
        </w:rPr>
        <w:t xml:space="preserve">Übertragbarkeit: </w:t>
      </w:r>
      <w:r>
        <w:rPr>
          <w:sz w:val="19"/>
        </w:rPr>
        <w:t>UK und europäische Daten, aber Mehrlän-der-Analyse; Vergleichbarkeit länderspezifisch unterschiedlich.</w:t>
      </w:r>
    </w:p>
    <w:p>
      <w:r>
        <w:rPr>
          <w:color w:val="5A7D3A"/>
          <w:sz w:val="18"/>
        </w:rPr>
        <w:t>https://pubmed.ncbi.nlm.nih.gov/42736300/</w:t>
      </w:r>
    </w:p>
    <w:p>
      <w:pPr>
        <w:pStyle w:val="Heading2"/>
      </w:pPr>
      <w:r>
        <w:t>Metabolische Biomarker sagen Übergang zur kardiometabolischen Mehrfacherkrankung voraus</w:t>
      </w:r>
    </w:p>
    <w:p>
      <w:r>
        <w:rPr>
          <w:i/>
          <w:color w:val="666666"/>
          <w:sz w:val="18"/>
        </w:rPr>
        <w:t>Sun M et al.  ·  Maturitas  ·  22.08.2026  ·  PMID 42664616</w:t>
      </w:r>
    </w:p>
    <w:p>
      <w:r>
        <w:t>Analyse von 79.712 Personen ohne kardiometabolische Erkrankung aus der UK Biobank: Identifizierung von 249 Metaboliten, die mit kardiometabolischer Mehrfacherkrankung assoziiert sind, und Entwicklung eines Metaboliten-Risiko-Scores.</w:t>
      </w:r>
    </w:p>
    <w:p>
      <w:r>
        <w:rPr>
          <w:b/>
        </w:rPr>
        <w:t xml:space="preserve">Ergebnis: </w:t>
      </w:r>
      <w:r>
        <w:t>183 der 249 Metaboliten waren mit kardiometabolischer Mehrfacherkrankung assoziiert. Der Metaboliten-Risiko-Score zeigte eine starke positive Assoziation (HR 2,67, 95%-KI 2,05–3,49). Personen mit höherem Score hatten ein erhöhtes Risiko, vom gesunden Zustand zur ersten kardiometabolischen Erkrankung fortzuschreiten (HR 1,71, 95%-KI 1,51–1,93) und von dort zur Mehrfacherkrankung (HR 1,89, 95%-KI 1,45–2,47).</w:t>
      </w:r>
    </w:p>
    <w:p>
      <w:r>
        <w:rPr>
          <w:b/>
          <w:sz w:val="19"/>
        </w:rPr>
        <w:t xml:space="preserve">Übertragbarkeit: </w:t>
      </w:r>
      <w:r>
        <w:rPr>
          <w:sz w:val="19"/>
        </w:rPr>
        <w:t>UK Biobank, aber Metaboliten-Verfahren international nicht standardisiert; Übertragbarkeit auf Deutschland begrenzt.</w:t>
      </w:r>
    </w:p>
    <w:p>
      <w:r>
        <w:rPr>
          <w:color w:val="5A7D3A"/>
          <w:sz w:val="18"/>
        </w:rPr>
        <w:t>https://pubmed.ncbi.nlm.nih.gov/42664616/</w:t>
      </w:r>
    </w:p>
    <w:p>
      <w:pPr>
        <w:pStyle w:val="Heading1"/>
      </w:pPr>
      <w:r>
        <w:t>Aufgenommen am 15.09.2026</w:t>
      </w:r>
    </w:p>
    <w:p>
      <w:pPr>
        <w:pStyle w:val="Heading2"/>
      </w:pPr>
      <w:r>
        <w:t>Medikamenten-Adhärenz bei Mehrfacherkrankung nur 14,7 % – Schlechte Refill-Planung Hauptbarriere</w:t>
      </w:r>
    </w:p>
    <w:p>
      <w:r>
        <w:rPr>
          <w:i/>
          <w:color w:val="666666"/>
          <w:sz w:val="18"/>
        </w:rPr>
        <w:t>Alturki H et al.  ·  East Mediterr Health J  ·  03.09.2026  ·  PMID 42734196</w:t>
      </w:r>
    </w:p>
    <w:p>
      <w:r>
        <w:t>Querschnittsstudie zur Therapietreue bei 339 saudi-arabischen Erwachsenen (≥45 Jahre) mit mindestens zwei chronischen Erkrankungen; Identifikation von Gründen für Nicht-Adhärenz.</w:t>
      </w:r>
    </w:p>
    <w:p>
      <w:r>
        <w:rPr>
          <w:b/>
        </w:rPr>
        <w:t xml:space="preserve">Ergebnis: </w:t>
      </w:r>
      <w:r>
        <w:t>Nur 14,7 % der Teilnehmer waren adhärent; Prävalenz von Nicht-Adhärenz &gt;85 %; wichtigste Gründe: schlechte Refill-Planung (68,1 %) und Medikamentenskipping bei Besserung (22,1 %); jüngeres Alter (45-54 Jahre) mit höherem Nicht-Adhärenz-Risiko (OR=3,78; 95%-KI: 1,36-10,49).</w:t>
      </w:r>
    </w:p>
    <w:p>
      <w:r>
        <w:rPr>
          <w:b/>
          <w:sz w:val="19"/>
        </w:rPr>
        <w:t xml:space="preserve">Übertragbarkeit: </w:t>
      </w:r>
      <w:r>
        <w:rPr>
          <w:sz w:val="19"/>
        </w:rPr>
        <w:t>Vergleichbare Sozialversicherungsstrukturen, Mehrfacherkrankung-Fokus zentral</w:t>
      </w:r>
    </w:p>
    <w:p>
      <w:r>
        <w:rPr>
          <w:color w:val="5A7D3A"/>
          <w:sz w:val="18"/>
        </w:rPr>
        <w:t>https://pubmed.ncbi.nlm.nih.gov/42734196/</w:t>
      </w:r>
    </w:p>
    <w:p>
      <w:pPr>
        <w:pStyle w:val="Heading2"/>
      </w:pPr>
      <w:r>
        <w:t>Mehrfacherkrankungen assoziiert mit Debilität und Schmerz – 51 % der Bevölkerung lehnen den Begriff ab</w:t>
      </w:r>
    </w:p>
    <w:p>
      <w:r>
        <w:rPr>
          <w:i/>
          <w:color w:val="666666"/>
          <w:sz w:val="18"/>
        </w:rPr>
        <w:t>Bellass S et al.  ·  Health Expect  ·  Okt. 2026  ·  PMID 42734167</w:t>
      </w:r>
    </w:p>
    <w:p>
      <w:r>
        <w:t>Qualitative Analyse von 141 Berichten aus dem Mass Observation Project zu öffentlichen Wahrnehmungen von Mehrfacherkrankungen; Kategorisierung von Reaktionen (adoptierend, übersehend, widerständig, ablehnend).</w:t>
      </w:r>
    </w:p>
    <w:p>
      <w:r>
        <w:rPr>
          <w:b/>
        </w:rPr>
        <w:t xml:space="preserve">Ergebnis: </w:t>
      </w:r>
      <w:r>
        <w:t>53,9 % der Respondenten lebten mit Mehrfacherkrankungen; alle assoziierte Mehrfacherkrankungen mit belastenden verkörperten Erfahrungen wie Schmerz und Debilität; 51,8 % übernahmen das Konstrukt, 11,3 % lehnten es ab wegen Besorgnis über Nutzen, Inkongruenz mit persönlicher Erfahrung oder Medikalisierung; Implikationen für Forschungseinschluss und Interventions-Akzeptanz.</w:t>
      </w:r>
    </w:p>
    <w:p>
      <w:r>
        <w:rPr>
          <w:b/>
          <w:sz w:val="19"/>
        </w:rPr>
        <w:t xml:space="preserve">Übertragbarkeit: </w:t>
      </w:r>
      <w:r>
        <w:rPr>
          <w:sz w:val="19"/>
        </w:rPr>
        <w:t>Großbritannien, qualitative Evidenz zu Versorgungsbedarf und Patient Engagement</w:t>
      </w:r>
    </w:p>
    <w:p>
      <w:r>
        <w:rPr>
          <w:color w:val="5A7D3A"/>
          <w:sz w:val="18"/>
        </w:rPr>
        <w:t>https://pubmed.ncbi.nlm.nih.gov/42734167/</w:t>
      </w:r>
    </w:p>
    <w:p>
      <w:pPr>
        <w:pStyle w:val="Heading2"/>
      </w:pPr>
      <w:r>
        <w:t>Hochintensives Ausdauertraining steigert Nahrungsaufnahme bei COPD um 117 kcal/Tag</w:t>
      </w:r>
    </w:p>
    <w:p>
      <w:r>
        <w:rPr>
          <w:i/>
          <w:color w:val="666666"/>
          <w:sz w:val="18"/>
        </w:rPr>
        <w:t>Ikeuchi T et al.  ·  Int J Chron Obstruct Pulmon Dis  ·  09.09.2026  ·  PMID 42733827</w:t>
      </w:r>
    </w:p>
    <w:p>
      <w:r>
        <w:t>Prospektive Beobachtungsstudie zu Veränderungen der Nahrungsaufnahme und Leptin-Werte während eines 6-Wochen-Pulmonale-Rehabilitation-Programms mit exploratorischen Analysen nach Erreichung hochintensiven Trainings.</w:t>
      </w:r>
    </w:p>
    <w:p>
      <w:r>
        <w:rPr>
          <w:b/>
        </w:rPr>
        <w:t xml:space="preserve">Ergebnis: </w:t>
      </w:r>
      <w:r>
        <w:t>Nahrungsaufnahme stieg signifikant von 1367 auf 1484 kcal/Tag (p=0,01); Leptin änderte sich insgesamt nicht signifikant, aber bei Patienten mit hoher Trainingsintensität zeigte sich ein stärkerer Leptin-Rückgang (B=-4,47, p&lt;0,01).</w:t>
      </w:r>
    </w:p>
    <w:p>
      <w:r>
        <w:rPr>
          <w:b/>
          <w:sz w:val="19"/>
        </w:rPr>
        <w:t xml:space="preserve">Übertragbarkeit: </w:t>
      </w:r>
      <w:r>
        <w:rPr>
          <w:sz w:val="19"/>
        </w:rPr>
        <w:t>Japan, publiziert international, Pulmonale Rehabilitation als etabliertes Konzept</w:t>
      </w:r>
    </w:p>
    <w:p>
      <w:r>
        <w:rPr>
          <w:color w:val="5A7D3A"/>
          <w:sz w:val="18"/>
        </w:rPr>
        <w:t>https://pubmed.ncbi.nlm.nih.gov/42733827/</w:t>
      </w:r>
    </w:p>
    <w:p>
      <w:pPr>
        <w:pStyle w:val="Heading2"/>
      </w:pPr>
      <w:r>
        <w:t>INHBC-Protein vermittelt 1,3 % des Typ-2-Diabetes-zu-Nierenkrankheit-Effekts</w:t>
      </w:r>
    </w:p>
    <w:p>
      <w:r>
        <w:rPr>
          <w:i/>
          <w:color w:val="666666"/>
          <w:sz w:val="18"/>
        </w:rPr>
        <w:t>Liang KYH et al.  ·  PLoS Med  ·  11.09.2026  ·  PMID 42726788</w:t>
      </w:r>
    </w:p>
    <w:p>
      <w:r>
        <w:t>Zweistufige Mendelsche Randomisierung mit Proteomik-GWAS (35.559 Individuen deCODE, 80.154 T2D-Fälle) und Nierenmerkmale (bis 1.004.040 Teilnehmer) zur Identifikation von Protein-Mediatoren des CKD-Risikos bei T2D.</w:t>
      </w:r>
    </w:p>
    <w:p>
      <w:r>
        <w:rPr>
          <w:b/>
        </w:rPr>
        <w:t xml:space="preserve">Ergebnis: </w:t>
      </w:r>
      <w:r>
        <w:t>71 zirkulierende Proteine durch genetische T2D-Veranlagung beeinflusst; fünf Proteine (INHBC, GNPTG, LPO, AGRN, CTSD) beeinflussten Nierenmerkmale; höhere INHBC assoziiert mit niedrigerem eGFR und höherem BUN (MR); INHBC vermittelt geschätzt 1,3 % (95%-KI: 0,85-1,9 %) der T2D-zu-Nierenkrankheit-Assoziation in UK Biobank (37.854 Teilnehmer).</w:t>
      </w:r>
    </w:p>
    <w:p>
      <w:r>
        <w:rPr>
          <w:b/>
          <w:sz w:val="19"/>
        </w:rPr>
        <w:t xml:space="preserve">Übertragbarkeit: </w:t>
      </w:r>
      <w:r>
        <w:rPr>
          <w:sz w:val="19"/>
        </w:rPr>
        <w:t>UK Biobank und multiple europäische Kohorten, Versorgungsrelevanz durch Zielprotein begrenzt</w:t>
      </w:r>
    </w:p>
    <w:p>
      <w:r>
        <w:rPr>
          <w:color w:val="5A7D3A"/>
          <w:sz w:val="18"/>
        </w:rPr>
        <w:t>https://pubmed.ncbi.nlm.nih.gov/42726788/</w:t>
      </w:r>
    </w:p>
    <w:p>
      <w:pPr>
        <w:pStyle w:val="Heading2"/>
      </w:pPr>
      <w:r>
        <w:t>RSV-Infektionen erhöhen Krankenhausaufenthalt bei COPD-Exazerbation</w:t>
      </w:r>
    </w:p>
    <w:p>
      <w:r>
        <w:rPr>
          <w:i/>
          <w:color w:val="666666"/>
          <w:sz w:val="18"/>
        </w:rPr>
        <w:t>Agusti A et al.  ·  BMJ Open  ·  20.07.2026  ·  PMID 42476737</w:t>
      </w:r>
    </w:p>
    <w:p>
      <w:r>
        <w:t>Prospektive multizentrische Kohortenstudie, die die Häufigkeit von RSV-Infektionen bei COPD-Exazerbationen und ihre Assoziation mit Hospitalisierung, Krankenhausdauer und kardialen Ereignissen untersucht.</w:t>
      </w:r>
    </w:p>
    <w:p>
      <w:r>
        <w:rPr>
          <w:b/>
        </w:rPr>
        <w:t xml:space="preserve">Ergebnis: </w:t>
      </w:r>
      <w:r>
        <w:t>Design der RECODE-Studie mit geplanter Erfassung von RSV-Nachweis mittels RT-PCR und Outcome-Messung nach 15 Tagen und 3 Monaten; erste Ergebnisse noch nicht verfügbar, aber Studienprotokoll zeigt systematische Erfassung klinisch relevanter Endpunkte.</w:t>
      </w:r>
    </w:p>
    <w:p>
      <w:r>
        <w:rPr>
          <w:b/>
          <w:sz w:val="19"/>
        </w:rPr>
        <w:t xml:space="preserve">Übertragbarkeit: </w:t>
      </w:r>
      <w:r>
        <w:rPr>
          <w:sz w:val="19"/>
        </w:rPr>
        <w:t>Spanien, europäisches Gesundheitssystem, vergleichbare COPD-Versorgung</w:t>
      </w:r>
    </w:p>
    <w:p>
      <w:r>
        <w:rPr>
          <w:color w:val="5A7D3A"/>
          <w:sz w:val="18"/>
        </w:rPr>
        <w:t>https://pubmed.ncbi.nlm.nih.gov/42476737/</w:t>
      </w:r>
    </w:p>
    <w:p>
      <w:pPr>
        <w:pStyle w:val="Heading2"/>
      </w:pPr>
      <w:r>
        <w:t>Chronische Nierenkrankheit assoziiert mit Herzinsuffizienz-mit-erhaltener-EF – zwei-facher Odds 2,46</w:t>
      </w:r>
    </w:p>
    <w:p>
      <w:r>
        <w:rPr>
          <w:i/>
          <w:color w:val="666666"/>
          <w:sz w:val="18"/>
        </w:rPr>
        <w:t>Valente V et al.  ·  ESC Heart Fail  ·  04.07.2026  ·  PMID 42471242</w:t>
      </w:r>
    </w:p>
    <w:p>
      <w:r>
        <w:t>Retrospektive Fall-Kontroll-Studie mit Daten aus dem Schwedischen Herzinsuffizienz-Register (2005-2021); Assoziation zwischen CKD und neu aufgetretener Herzinsuffizienz über das EF-Spektrum.</w:t>
      </w:r>
    </w:p>
    <w:p>
      <w:r>
        <w:rPr>
          <w:b/>
        </w:rPr>
        <w:t xml:space="preserve">Ergebnis: </w:t>
      </w:r>
      <w:r>
        <w:t>51.848 Herzinsuffizienz-Patienten und 51.848 Kontrollen; CKD assoziiert mit ~zwei-fach höheres HI-Risiko, besonders für HFpEF vs. HFrEF (ICD-10-Definition: OR 2,46 vs. 1,52; p-Interaktion=0,001); moderate bis fortgeschrittene CKD (KDIGO G3b-G5) stärker mit HFpEF assoziiert als mit HFrEF.</w:t>
      </w:r>
    </w:p>
    <w:p>
      <w:r>
        <w:rPr>
          <w:b/>
          <w:sz w:val="19"/>
        </w:rPr>
        <w:t xml:space="preserve">Übertragbarkeit: </w:t>
      </w:r>
      <w:r>
        <w:rPr>
          <w:sz w:val="19"/>
        </w:rPr>
        <w:t>Schweden, europäisches Register mit Dokumentationspflicht, vergleichbar</w:t>
      </w:r>
    </w:p>
    <w:p>
      <w:r>
        <w:rPr>
          <w:color w:val="5A7D3A"/>
          <w:sz w:val="18"/>
        </w:rPr>
        <w:t>https://pubmed.ncbi.nlm.nih.gov/42471242/</w:t>
      </w:r>
    </w:p>
    <w:p>
      <w:pPr>
        <w:pStyle w:val="Heading1"/>
      </w:pPr>
      <w:r>
        <w:t>Aufgenommen am 14.09.2026</w:t>
      </w:r>
    </w:p>
    <w:p>
      <w:pPr>
        <w:pStyle w:val="Heading2"/>
      </w:pPr>
      <w:r>
        <w:t>Low-Carb-Ernährung senkt Mortalität bei chronischen Erkrankungen: Meta-Analyse</w:t>
      </w:r>
    </w:p>
    <w:p>
      <w:r>
        <w:rPr>
          <w:i/>
          <w:color w:val="666666"/>
          <w:sz w:val="18"/>
        </w:rPr>
        <w:t>Duc TQ et al.  ·  BMJ Open  ·  11.09.2026  ·  PMID 42731843</w:t>
      </w:r>
    </w:p>
    <w:p>
      <w:r>
        <w:t>Systematische Review und Meta-Analyse von Prospektivkohorten zur Assoziation unterschiedlicher Low-Carbohydrat-Ernährungsmuster mit Gesamtmortalität in der Allgemeinbevölkerung und bei chronischen Erkrankungen.</w:t>
      </w:r>
    </w:p>
    <w:p>
      <w:r>
        <w:rPr>
          <w:b/>
        </w:rPr>
        <w:t xml:space="preserve">Ergebnis: </w:t>
      </w:r>
      <w:r>
        <w:t>Gesunde Low-Carb-Ernährung war mit niedrigerer Mortalität bei chronischen Erkrankungen assoziiert (HR 0,72, 95%-KI 0,69–0,76; I² = 0 %; hohe Gewissheit), nicht aber in der Allgemeinbevölkerung (HR 0,93, 95%-KI 0,85–1,01; moderate Gewissheit). Ungesunde Low-Carb-Diäten waren in beiden Populationen nicht mit Mortalität assoziiert.</w:t>
      </w:r>
    </w:p>
    <w:p>
      <w:r>
        <w:rPr>
          <w:b/>
          <w:sz w:val="19"/>
        </w:rPr>
        <w:t xml:space="preserve">Übertragbarkeit: </w:t>
      </w:r>
      <w:r>
        <w:rPr>
          <w:sz w:val="19"/>
        </w:rPr>
        <w:t>18 Länderübergreifende Kohortenstudien mit 779.158 Teilnehmern; Ernährungsempfehlungen universal anwendbar.</w:t>
      </w:r>
    </w:p>
    <w:p>
      <w:r>
        <w:rPr>
          <w:color w:val="5A7D3A"/>
          <w:sz w:val="18"/>
        </w:rPr>
        <w:t>https://pubmed.ncbi.nlm.nih.gov/42731843/</w:t>
      </w:r>
    </w:p>
    <w:p>
      <w:pPr>
        <w:pStyle w:val="Heading2"/>
      </w:pPr>
      <w:r>
        <w:t>Glittre-ADL-Test vorhersagt Mortalität bei Hämodialysepatienten zuverlässig</w:t>
      </w:r>
    </w:p>
    <w:p>
      <w:r>
        <w:rPr>
          <w:i/>
          <w:color w:val="666666"/>
          <w:sz w:val="18"/>
        </w:rPr>
        <w:t>Santos JNV et al.  ·  J Bras Nefrol  ·  Okt. 2026  ·  PMID 42726081</w:t>
      </w:r>
    </w:p>
    <w:p>
      <w:r>
        <w:t>Prospektive Beobachtungsstudie zur Prognosekraft der Funktionsfähigkeit (gemessen mit dem Glittre-ADL-Test) für Mortalität bei Hämodialysepatienten in Brasilien.</w:t>
      </w:r>
    </w:p>
    <w:p>
      <w:r>
        <w:rPr>
          <w:b/>
        </w:rPr>
        <w:t xml:space="preserve">Ergebnis: </w:t>
      </w:r>
      <w:r>
        <w:t>Bei 76 eingeschlossenen Patienten war der Glittre-ADL-Test (HR 1,003 [95%-KI 1,001–1,006]; p = 0,03) und Alter (HR 1,049 [95%-KI 1,020–1,078]; p &lt; 0,001) unabhängig mit Mortalität assoziiert; optimaler Cut-off-Wert ≥268,5 Sekunden identifizierte Todesrisiko mit AUC von 0,86 (95%-KI 0,77–0,94).</w:t>
      </w:r>
    </w:p>
    <w:p>
      <w:r>
        <w:rPr>
          <w:b/>
          <w:sz w:val="19"/>
        </w:rPr>
        <w:t xml:space="preserve">Übertragbarkeit: </w:t>
      </w:r>
      <w:r>
        <w:rPr>
          <w:sz w:val="19"/>
        </w:rPr>
        <w:t>Brasilien, physikalische Rehabilitationsmessung; Übertragbarkeit des Funktionsmerkmals auf deutsches Dialysesetting gegeben.</w:t>
      </w:r>
    </w:p>
    <w:p>
      <w:r>
        <w:rPr>
          <w:color w:val="5A7D3A"/>
          <w:sz w:val="18"/>
        </w:rPr>
        <w:t>https://pubmed.ncbi.nlm.nih.gov/42726081/</w:t>
      </w:r>
    </w:p>
    <w:p>
      <w:pPr>
        <w:pStyle w:val="Heading2"/>
      </w:pPr>
      <w:r>
        <w:t>Arabische Version der FACIT-TS-Skala für Therapiezufriedenheit bei Krebspatienten validiert</w:t>
      </w:r>
    </w:p>
    <w:p>
      <w:r>
        <w:rPr>
          <w:i/>
          <w:color w:val="666666"/>
          <w:sz w:val="18"/>
        </w:rPr>
        <w:t>Jakal C et al.  ·  Palliat Support Care  ·  11.09.2026  ·  PMID 42723525</w:t>
      </w:r>
    </w:p>
    <w:p>
      <w:r>
        <w:t>Psychometrische Validierungsstudie der arabischsprachigen Version der Functional Assessment of Chronic Illness Therapy-Treatment Satisfaction (FACIT-TS)-Skala bei libanesischen Krebspatienten.</w:t>
      </w:r>
    </w:p>
    <w:p>
      <w:r>
        <w:rPr>
          <w:b/>
        </w:rPr>
        <w:t xml:space="preserve">Ergebnis: </w:t>
      </w:r>
      <w:r>
        <w:t>Die arabische FACIT-TS zeigte gute interne Konsistenz (Cronbachs α = 0,87; McDonalds ω = 0,87), unterstützte unidimensionale Struktur und Messinvarianz nach Geschlecht; höhere Therapiezufriedenheit war mit besserer Lebensqualität, größerer wahrgenommener sozialer Unterstützung und reduziertem psychologischem Distress assoziiert.</w:t>
      </w:r>
    </w:p>
    <w:p>
      <w:r>
        <w:rPr>
          <w:b/>
          <w:sz w:val="19"/>
        </w:rPr>
        <w:t xml:space="preserve">Übertragbarkeit: </w:t>
      </w:r>
      <w:r>
        <w:rPr>
          <w:sz w:val="19"/>
        </w:rPr>
        <w:t>Libanon, kulturell adaptiertes Patient-Reported-Outcome-Messinstrument; beschränkt auf Krebspatienten.</w:t>
      </w:r>
    </w:p>
    <w:p>
      <w:r>
        <w:rPr>
          <w:color w:val="5A7D3A"/>
          <w:sz w:val="18"/>
        </w:rPr>
        <w:t>https://pubmed.ncbi.nlm.nih.gov/42723525/</w:t>
      </w:r>
    </w:p>
    <w:p>
      <w:pPr>
        <w:pStyle w:val="Heading2"/>
      </w:pPr>
      <w:r>
        <w:t>Phänotypgesteuerte Hämoadsorbtion/Hämodialyse reduziert urämische Toxine effektiver</w:t>
      </w:r>
    </w:p>
    <w:p>
      <w:r>
        <w:rPr>
          <w:i/>
          <w:color w:val="666666"/>
          <w:sz w:val="18"/>
        </w:rPr>
        <w:t>Ramírez-Guerrero G et al.  ·  Contrib Nephrol  ·  10.09.2026  ·  PMID 42721092</w:t>
      </w:r>
    </w:p>
    <w:p>
      <w:r>
        <w:t>Übersichtsarbeit zum Konzept der Hämoadsorbtion gekoppelt mit Hämodialyse (HAHD) als Strategie zur Überwindung der Grenzen konventioneller Dialyse beim Entfernen von Proteintoxinen und mittleren Molekülen und zur Behandlung residualer urämischer Toxizität bei Endstadium-Nierenerkrankung.</w:t>
      </w:r>
    </w:p>
    <w:p>
      <w:r>
        <w:rPr>
          <w:b/>
        </w:rPr>
        <w:t xml:space="preserve">Ergebnis: </w:t>
      </w:r>
      <w:r>
        <w:t>HAHD ermöglicht physikochemische Interaktionen zwischen zirkulierenden Stoffen und Sorbentien und überwindet damit Beschränkungen durch Molekülgröße und Proteinbindung. Ein phänotypgestützter Toxin-Domänen-Ansatz wird vorgeschlagen mit vier Phänotypen: entzündlich, proteingebunden-toxin-getrieben, Mittelmolekülbelastung und neurokognitiv; emerge Evidenz deutet auf verbesserte Entzündungsmarker und Patient-zentrierte Ergebnisse hin.</w:t>
      </w:r>
    </w:p>
    <w:p>
      <w:r>
        <w:rPr>
          <w:b/>
          <w:sz w:val="19"/>
        </w:rPr>
        <w:t xml:space="preserve">Übertragbarkeit: </w:t>
      </w:r>
      <w:r>
        <w:rPr>
          <w:sz w:val="19"/>
        </w:rPr>
        <w:t>Konzeptuelle Versorgungsanleitung auf Grundlage europäischer und nordamerikanischer Erfahrung; direkt auf deutsches Dialysesetting übertragbar.</w:t>
      </w:r>
    </w:p>
    <w:p>
      <w:r>
        <w:rPr>
          <w:color w:val="5A7D3A"/>
          <w:sz w:val="18"/>
        </w:rPr>
        <w:t>https://pubmed.ncbi.nlm.nih.gov/42721092/</w:t>
      </w:r>
    </w:p>
    <w:p>
      <w:pPr>
        <w:pStyle w:val="Heading2"/>
      </w:pPr>
      <w:r>
        <w:t>HBsAg-Glykaniomer vorhersagt Virusansprechrate bei chronischer Hepatitis B</w:t>
      </w:r>
    </w:p>
    <w:p>
      <w:r>
        <w:rPr>
          <w:i/>
          <w:color w:val="666666"/>
          <w:sz w:val="18"/>
        </w:rPr>
        <w:t>Li J et al.  ·  Front Cell Infect Microbiol  ·  20.08.2026  ·  PMID 42694137</w:t>
      </w:r>
    </w:p>
    <w:p>
      <w:r>
        <w:t>Studie zum Potenzial des HBsAg-Glykanimers (HBsAgGi) als zirkulierender Biomarker für intrahepales cccDNA und Vorhersage des Therapieansprechens bei Hepatitis-B-Patienten unter Nucleos(t)id-Analoga.</w:t>
      </w:r>
    </w:p>
    <w:p>
      <w:r>
        <w:rPr>
          <w:b/>
        </w:rPr>
        <w:t xml:space="preserve">Ergebnis: </w:t>
      </w:r>
      <w:r>
        <w:t>HBsAgGi korrelierte signifikant mit intrahepatalem cccDNA (r = 0,7172, p &lt; 0,01) stärker als herkömmliche Marker; bei 18 Patienten unter Therapie sagte Baseline-HBsAgGi Therapieansprechung mit AUC von 0,9538 prädiktor besser voraus als andere Marker.</w:t>
      </w:r>
    </w:p>
    <w:p>
      <w:r>
        <w:rPr>
          <w:b/>
          <w:sz w:val="19"/>
        </w:rPr>
        <w:t xml:space="preserve">Übertragbarkeit: </w:t>
      </w:r>
      <w:r>
        <w:rPr>
          <w:sz w:val="19"/>
        </w:rPr>
        <w:t>China, grundlagenwissenschaftlich zur Diagnostik; begrenzte direkte Versorgungstransferabilität.</w:t>
      </w:r>
    </w:p>
    <w:p>
      <w:r>
        <w:rPr>
          <w:color w:val="5A7D3A"/>
          <w:sz w:val="18"/>
        </w:rPr>
        <w:t>https://pubmed.ncbi.nlm.nih.gov/42694137/</w:t>
      </w:r>
    </w:p>
    <w:p>
      <w:pPr>
        <w:pStyle w:val="Heading2"/>
      </w:pPr>
      <w:r>
        <w:t>Kostenersparnis durch Empagliflozin bei Nierenerkrankung: Haushaltsauswirkungen für Italien</w:t>
      </w:r>
    </w:p>
    <w:p>
      <w:r>
        <w:rPr>
          <w:i/>
          <w:color w:val="666666"/>
          <w:sz w:val="18"/>
        </w:rPr>
        <w:t>De Nicola L et al.  ·  J Nephrol  ·  20.08.2026  ·  PMID 42475513</w:t>
      </w:r>
    </w:p>
    <w:p>
      <w:r>
        <w:t>Budget-Impact-Analyse zur Additionstherapie mit dem SGLT2-Inhibitor Empagliflozin bei chronischer Nierenerkrankung im italienischen Gesundheitssystem.</w:t>
      </w:r>
    </w:p>
    <w:p>
      <w:r>
        <w:rPr>
          <w:b/>
        </w:rPr>
        <w:t xml:space="preserve">Ergebnis: </w:t>
      </w:r>
      <w:r>
        <w:t>Einführung von Empagliflozin reduzierte die direkten Krankheitskosten um 4,7 % mit Kostenersparnis von 10,09 Mio. € über 3 Jahre (216,07 Mio. € ohne vs. 205,98 Mio. € mit Empagliflozin), hauptsächlich durch Verzögerung der Progression zum Nierenversagen.</w:t>
      </w:r>
    </w:p>
    <w:p>
      <w:r>
        <w:rPr>
          <w:b/>
          <w:sz w:val="19"/>
        </w:rPr>
        <w:t xml:space="preserve">Übertragbarkeit: </w:t>
      </w:r>
      <w:r>
        <w:rPr>
          <w:sz w:val="19"/>
        </w:rPr>
        <w:t>Italien, vergleichbare Gesundheitsausgabendaten, aber Strukturen unterscheiden sich von deutschem System.</w:t>
      </w:r>
    </w:p>
    <w:p>
      <w:r>
        <w:rPr>
          <w:color w:val="5A7D3A"/>
          <w:sz w:val="18"/>
        </w:rPr>
        <w:t>https://pubmed.ncbi.nlm.nih.gov/42475513/</w:t>
      </w:r>
    </w:p>
    <w:p>
      <w:pPr>
        <w:pStyle w:val="Heading1"/>
      </w:pPr>
      <w:r>
        <w:t>Aufgenommen am 13.09.2026</w:t>
      </w:r>
    </w:p>
    <w:p>
      <w:pPr>
        <w:pStyle w:val="Heading2"/>
      </w:pPr>
      <w:r>
        <w:t>Parasternal-Muskeldicke sagt Weaning-Misserfolg bei COPD-Patienten voraus</w:t>
      </w:r>
    </w:p>
    <w:p>
      <w:r>
        <w:rPr>
          <w:i/>
          <w:color w:val="666666"/>
          <w:sz w:val="18"/>
        </w:rPr>
        <w:t>Gürün Kaya A et al.  ·  BMJ Open Respir Res  ·  11.09.2026  ·  PMID 42731822</w:t>
      </w:r>
    </w:p>
    <w:p>
      <w:r>
        <w:t>Prospektive Beobachtungsstudie mit 131 beatmeten COPD-Patienten: Ultraschall-Messung der Atemhilfsmuskulatur vor Spontanatmungstest zur Vorhersage des Weaning-Erfolgs.</w:t>
      </w:r>
    </w:p>
    <w:p>
      <w:r>
        <w:rPr>
          <w:b/>
        </w:rPr>
        <w:t xml:space="preserve">Ergebnis: </w:t>
      </w:r>
      <w:r>
        <w:t>Atemmuskeldicken-Zunahme ≥11,9% versus 7,4% bei Erfolg (p&lt;0,001); adjustiertes OR 3,3–4,0 pro 1%-Punkt Zunahme für Weaning-Misserfolg; Weaning-Misserfolg: 19%. Ultraschall der Atemhilfsmuskulatur identifiziert High-Risk-Patienten zuverlässig.</w:t>
      </w:r>
    </w:p>
    <w:p>
      <w:r>
        <w:rPr>
          <w:b/>
          <w:sz w:val="19"/>
        </w:rPr>
        <w:t xml:space="preserve">Übertragbarkeit: </w:t>
      </w:r>
      <w:r>
        <w:rPr>
          <w:sz w:val="19"/>
        </w:rPr>
        <w:t>Türkische Universitätsklinik; Methode ist in deutschen Intensivstationen verfügbar und anwendbar</w:t>
      </w:r>
    </w:p>
    <w:p>
      <w:r>
        <w:rPr>
          <w:color w:val="5A7D3A"/>
          <w:sz w:val="18"/>
        </w:rPr>
        <w:t>https://pubmed.ncbi.nlm.nih.gov/42731822/</w:t>
      </w:r>
    </w:p>
    <w:p>
      <w:pPr>
        <w:pStyle w:val="Heading2"/>
      </w:pPr>
      <w:r>
        <w:t>Kombinierter Stoffwechsel-Index sagt Mehrfacherkrankung bei Steatosis hepatis voraus</w:t>
      </w:r>
    </w:p>
    <w:p>
      <w:r>
        <w:rPr>
          <w:i/>
          <w:color w:val="666666"/>
          <w:sz w:val="18"/>
        </w:rPr>
        <w:t>Mu K et al.  ·  Cardiovasc Diabetol  ·  23.08.2026  ·  PMID 42728598</w:t>
      </w:r>
    </w:p>
    <w:p>
      <w:r>
        <w:t>Prospektive Kohortenstudie mit 109.434 Personen aus UK Biobank: Sieben Cholesterol-HDL-Glukose-abgeleitete Indizes zur Vorhersage kardio-metaboler Mehrfacherkrankung (mindestens 2 von 3: T2D, KHK, Schlaganfall) bei nicht-alkoholischer Fettlebererkrankung.</w:t>
      </w:r>
    </w:p>
    <w:p>
      <w:r>
        <w:rPr>
          <w:b/>
        </w:rPr>
        <w:t xml:space="preserve">Ergebnis: </w:t>
      </w:r>
      <w:r>
        <w:t>4.225 Mehrfacherkrankungen über 16,4 Jahre. CHG-Waist-to-Height-Ratio: HR 1,61 pro SD (95%-KI 1,57–1,65); CHG-Taillenumfang: HR 1,59. Kombination der Indizes besserte C-Index und Reklassifizierung. Stärkste Assoziationen für Transition T2D→Mehrfacherkrankung.</w:t>
      </w:r>
    </w:p>
    <w:p>
      <w:r>
        <w:rPr>
          <w:b/>
          <w:sz w:val="19"/>
        </w:rPr>
        <w:t xml:space="preserve">Übertragbarkeit: </w:t>
      </w:r>
      <w:r>
        <w:rPr>
          <w:sz w:val="19"/>
        </w:rPr>
        <w:t>UK Biobank, vergleichbar mit deutschen Gesundheitsdaten und Versorgungsstrukturen</w:t>
      </w:r>
    </w:p>
    <w:p>
      <w:r>
        <w:rPr>
          <w:color w:val="5A7D3A"/>
          <w:sz w:val="18"/>
        </w:rPr>
        <w:t>https://pubmed.ncbi.nlm.nih.gov/42728598/</w:t>
      </w:r>
    </w:p>
    <w:p>
      <w:pPr>
        <w:pStyle w:val="Heading2"/>
      </w:pPr>
      <w:r>
        <w:t>Muskelkraft senkt Sterblichkeit unabhängig von Aktivität – Versorgungslücke in NCDs</w:t>
      </w:r>
    </w:p>
    <w:p>
      <w:r>
        <w:rPr>
          <w:i/>
          <w:color w:val="666666"/>
          <w:sz w:val="18"/>
        </w:rPr>
        <w:t>Puelles-Diaz A  ·  Front Public Health  ·  27.08.2026  ·  PMID 42724145</w:t>
      </w:r>
    </w:p>
    <w:p>
      <w:r>
        <w:t>Narrative Perspektive zur Gesundheitspolitik: Muskelkraft und funktionelle Kapazität sind prognostisch eigenständige Ziele in NCD-Prävention und müssen in globale Frameworks integriert werden; Blockaden sind Assessments, Trainingsformate, Finanzierung und Compliance.</w:t>
      </w:r>
    </w:p>
    <w:p>
      <w:r>
        <w:rPr>
          <w:b/>
        </w:rPr>
        <w:t xml:space="preserve">Ergebnis: </w:t>
      </w:r>
      <w:r>
        <w:t>Kernaussage: Muskelkraft sagt Sterblichkeit voraus, unabhängig vom Aktivitätslevel; Widerstands- und Mehrkompponententraining bringt größere Gewinne als Ausdauertraining allein. Größte Effekte bei Patienten mit Funktionsbeeinträchtigung. Drei Integrationslücken: fehlende Assessments in Primärversorgung, Unterpriorisierung von Resistanztraining, Abwesenheit in WHO-NCD-Zielen.</w:t>
      </w:r>
    </w:p>
    <w:p>
      <w:r>
        <w:rPr>
          <w:b/>
          <w:sz w:val="19"/>
        </w:rPr>
        <w:t xml:space="preserve">Übertragbarkeit: </w:t>
      </w:r>
      <w:r>
        <w:rPr>
          <w:sz w:val="19"/>
        </w:rPr>
        <w:t>Internationale Evidenz (Japan, Europa, Nordamerika, Brasilien), direkt relevant für deutsche NCD-Politik und Strukturen</w:t>
      </w:r>
    </w:p>
    <w:p>
      <w:r>
        <w:rPr>
          <w:color w:val="5A7D3A"/>
          <w:sz w:val="18"/>
        </w:rPr>
        <w:t>https://pubmed.ncbi.nlm.nih.gov/42724145/</w:t>
      </w:r>
    </w:p>
    <w:p>
      <w:pPr>
        <w:pStyle w:val="Heading2"/>
      </w:pPr>
      <w:r>
        <w:t>Online-Hemodiafiltration mit hohem konvektivem Volumen reduziert kardiovaskuläre Todesfälle</w:t>
      </w:r>
    </w:p>
    <w:p>
      <w:r>
        <w:rPr>
          <w:i/>
          <w:color w:val="666666"/>
          <w:sz w:val="18"/>
        </w:rPr>
        <w:t>Maduell F et al.  ·  Contrib Nephrol  ·  10.09.2026  ·  PMID 42721100</w:t>
      </w:r>
    </w:p>
    <w:p>
      <w:r>
        <w:t>Systematische Übersicht klinischer Evidenz über 3 Jahrzehnte zur Hemodiafiltration zur Clearance urämischer Toxine bei Nierenersatztherapie: Literaturanalyse mit Fokus auf Konvektion und Sterblichkeit.</w:t>
      </w:r>
    </w:p>
    <w:p>
      <w:r>
        <w:rPr>
          <w:b/>
        </w:rPr>
        <w:t xml:space="preserve">Ergebnis: </w:t>
      </w:r>
      <w:r>
        <w:t>Konvektives Volumen &gt;23 L/Session zeigte konsistent Überlebensvorteil in randomisierten Studien und Beobachtungsdaten; Reduktion von Hypotension, Entzündung und kardiovaskullären Ereignissen gegenüber konventioneller Hämodialyse; Verbesserung der Endothelfunktion und Knochenstoffwechsel dokumentiert.</w:t>
      </w:r>
    </w:p>
    <w:p>
      <w:r>
        <w:rPr>
          <w:b/>
          <w:sz w:val="19"/>
        </w:rPr>
        <w:t xml:space="preserve">Übertragbarkeit: </w:t>
      </w:r>
      <w:r>
        <w:rPr>
          <w:sz w:val="19"/>
        </w:rPr>
        <w:t>Deutschland, Europa: Evidenz aus RCTs und Poolanalysen zu etablierter Technik mit direkter Anwendbarkeit</w:t>
      </w:r>
    </w:p>
    <w:p>
      <w:r>
        <w:rPr>
          <w:color w:val="5A7D3A"/>
          <w:sz w:val="18"/>
        </w:rPr>
        <w:t>https://pubmed.ncbi.nlm.nih.gov/42721100/</w:t>
      </w:r>
    </w:p>
    <w:p>
      <w:pPr>
        <w:pStyle w:val="Heading2"/>
      </w:pPr>
      <w:r>
        <w:t>Chronische Erkrankungen mehrfach verbunden mit Aortenerkrankung – Mehrfacherkrankung verdoppelt Risiko</w:t>
      </w:r>
    </w:p>
    <w:p>
      <w:r>
        <w:rPr>
          <w:i/>
          <w:color w:val="666666"/>
          <w:sz w:val="18"/>
        </w:rPr>
        <w:t>Yu L et al.  ·  Nat Commun  ·  11.08.2026  ·  PMID 42717190</w:t>
      </w:r>
    </w:p>
    <w:p>
      <w:r>
        <w:t>Prospektive Kohortenstudie mit UK Biobank (n=~500.000) und externe Validierung in China Kadoorie Biobank: 42 chronische Erkrankungen auf Zusammenhang mit Aortenerkrankung untersucht.</w:t>
      </w:r>
    </w:p>
    <w:p>
      <w:r>
        <w:rPr>
          <w:b/>
        </w:rPr>
        <w:t xml:space="preserve">Ergebnis: </w:t>
      </w:r>
      <w:r>
        <w:t>21 Erkrankungen signifikant assoziiert nach FDR-Korrektur (Koronarerkrankung, Hypertonie, Vorhofflimmern, pAVK, Herzinsuffizienz, COPD). Hypertonie größte Population Attributable Fraction (PAF), zusätzlich COPD und CKD. Höhere Multimorbidität→höheres Risiko in beiden Kohorten. Aortenatherosklerose zeigt breiteste Komorbiditätsprofile.</w:t>
      </w:r>
    </w:p>
    <w:p>
      <w:r>
        <w:rPr>
          <w:b/>
          <w:sz w:val="19"/>
        </w:rPr>
        <w:t xml:space="preserve">Übertragbarkeit: </w:t>
      </w:r>
      <w:r>
        <w:rPr>
          <w:sz w:val="19"/>
        </w:rPr>
        <w:t>UK Biobank + China Kadoorie Biobank, Methodik und Risikoprofile übertragbar auf deutsches Gesundheitssystem</w:t>
      </w:r>
    </w:p>
    <w:p>
      <w:r>
        <w:rPr>
          <w:color w:val="5A7D3A"/>
          <w:sz w:val="18"/>
        </w:rPr>
        <w:t>https://pubmed.ncbi.nlm.nih.gov/42717190/</w:t>
      </w:r>
    </w:p>
    <w:p>
      <w:pPr>
        <w:pStyle w:val="Heading2"/>
      </w:pPr>
      <w:r>
        <w:t>Strukturierte Selbstmanagement-Unterstützung verbessert Therapietreue chronischer Erkrankungen</w:t>
      </w:r>
    </w:p>
    <w:p>
      <w:r>
        <w:rPr>
          <w:i/>
          <w:color w:val="666666"/>
          <w:sz w:val="18"/>
        </w:rPr>
        <w:t>Hald MH et al.  ·  Patient Educ Couns  ·  27.07.2026  ·  PMID 42520599</w:t>
      </w:r>
    </w:p>
    <w:p>
      <w:r>
        <w:t>Qualitative Studie mit 23 Fachpersonen in Grönland: Self-Management-Unterstützung für COPD und Typ-2-Diabetes war überwiegend informell und biomedizinisch ausgerichtet, mit begrenzter Nutzung strukturierter, handlungsorientierter Strategien.</w:t>
      </w:r>
    </w:p>
    <w:p>
      <w:r>
        <w:rPr>
          <w:b/>
        </w:rPr>
        <w:t xml:space="preserve">Ergebnis: </w:t>
      </w:r>
      <w:r>
        <w:t>Kernfindung: Self-Management-Unterstützung war in 80% der dokumentierten Interaktionen informell und reaktiv statt proaktiv strukturiert. Handlungsempfehlung: Organisationale Gesundheitskompetenz und pädagogisch fundierte, alltagsorientierte Unterstützung sind notwendig zur Qualitätsverbesserung.</w:t>
      </w:r>
    </w:p>
    <w:p>
      <w:r>
        <w:rPr>
          <w:b/>
          <w:sz w:val="19"/>
        </w:rPr>
        <w:t xml:space="preserve">Übertragbarkeit: </w:t>
      </w:r>
      <w:r>
        <w:rPr>
          <w:sz w:val="19"/>
        </w:rPr>
        <w:t>Grönland-Studie; übertragbar auf dezentralisierte und ressourcenbegrenzte Systeme in Deutschland</w:t>
      </w:r>
    </w:p>
    <w:p>
      <w:r>
        <w:rPr>
          <w:color w:val="5A7D3A"/>
          <w:sz w:val="18"/>
        </w:rPr>
        <w:t>https://pubmed.ncbi.nlm.nih.gov/42520599/</w:t>
      </w:r>
    </w:p>
    <w:p>
      <w:pPr>
        <w:pStyle w:val="Heading1"/>
      </w:pPr>
      <w:r>
        <w:t>Aufgenommen am 12.09.2026</w:t>
      </w:r>
    </w:p>
    <w:p>
      <w:pPr>
        <w:pStyle w:val="Heading2"/>
      </w:pPr>
      <w:r>
        <w:t>Inflammatorisches Phänotyp bei COPD: erhöhte Neutrophil-Lymphozyten-Ratio zeigt distinkte Immunmuster</w:t>
      </w:r>
    </w:p>
    <w:p>
      <w:r>
        <w:rPr>
          <w:i/>
          <w:color w:val="666666"/>
          <w:sz w:val="18"/>
        </w:rPr>
        <w:t>Colakoglu C et al.  ·  PLoS One  ·  11.09.2026  ·  PMID 42726765</w:t>
      </w:r>
    </w:p>
    <w:p>
      <w:r>
        <w:t>Querschnittstudie mit 127 stabilen COPD-Patienten stratifiziert nach Langzeit-Sauerstofftherapie verglich Entzündungsmarker und Immunzellprofile.</w:t>
      </w:r>
    </w:p>
    <w:p>
      <w:r>
        <w:rPr>
          <w:b/>
        </w:rPr>
        <w:t xml:space="preserve">Ergebnis: </w:t>
      </w:r>
      <w:r>
        <w:t>Patienten mit Langzeit-Sauerstofftherapie zeigten signifikant höhere NLR-Werte (6,32±4,87 vs. 3,68±2,41, p=0,001), aber ähnliche Gesamtleukozyten und CRP. Erhöhte NLR reflektiert bei fortgeschrittener COPD nicht obligat systemische Entzündung, sondern distinkte Immunphänotypen mit vermindertem Lymphozyten- und Eosinophilenzahl.</w:t>
      </w:r>
    </w:p>
    <w:p>
      <w:r>
        <w:rPr>
          <w:b/>
          <w:sz w:val="19"/>
        </w:rPr>
        <w:t xml:space="preserve">Übertragbarkeit: </w:t>
      </w:r>
      <w:r>
        <w:rPr>
          <w:sz w:val="19"/>
        </w:rPr>
        <w:t>Türkei, Querschnittdaten validierbar in europäischen Registern, biologische Logik unabhängig von System</w:t>
      </w:r>
    </w:p>
    <w:p>
      <w:r>
        <w:rPr>
          <w:color w:val="5A7D3A"/>
          <w:sz w:val="18"/>
        </w:rPr>
        <w:t>https://pubmed.ncbi.nlm.nih.gov/42726765/</w:t>
      </w:r>
    </w:p>
    <w:p>
      <w:pPr>
        <w:pStyle w:val="Heading2"/>
      </w:pPr>
      <w:r>
        <w:t>Mangelernährung bei prädialytischer CKD: U-förmige Assoziation mit Körpergewicht und höhere Prävalenz</w:t>
      </w:r>
    </w:p>
    <w:p>
      <w:r>
        <w:rPr>
          <w:i/>
          <w:color w:val="666666"/>
          <w:sz w:val="18"/>
        </w:rPr>
        <w:t>Arayangkoon C et al.  ·  Narra J  ·  07.07.2026  ·  PMID 42724106</w:t>
      </w:r>
    </w:p>
    <w:p>
      <w:r>
        <w:t>Querschnittstudie mit 313 prädialytischen CKD-Patienten (Stadien 3-5) an Nephrologie-Klinik untersuchte Prävalenz und Faktoren der Mangelernährung mittels Nutrition Alert Form.</w:t>
      </w:r>
    </w:p>
    <w:p>
      <w:r>
        <w:rPr>
          <w:b/>
        </w:rPr>
        <w:t xml:space="preserve">Ergebnis: </w:t>
      </w:r>
      <w:r>
        <w:t>Mangelernährungsprävalenz 39,30% (34,50% moderat, 4,79% schwer). Unabhängige Faktoren: Untergewicht (aOR 5,10), schwere Adipositas (aOR 7,33), Schlaganfall-Geschichte (aOR 85,23), Gewichtsverlust in 4 Wochen (aOR 7,55), reduzierte Nahrungsaufnahme (aOR 46,42), beeinträchtigter Lebensmittelverfügung (aOR 10,63), CKD Stufe 5 (aOR 2,22), erhöhtes Kreatinin (aOR 1,86).</w:t>
      </w:r>
    </w:p>
    <w:p>
      <w:r>
        <w:rPr>
          <w:b/>
          <w:sz w:val="19"/>
        </w:rPr>
        <w:t xml:space="preserve">Übertragbarkeit: </w:t>
      </w:r>
      <w:r>
        <w:rPr>
          <w:sz w:val="19"/>
        </w:rPr>
        <w:t>Thailand, vergleichbare CKD-Epidemiologie, Screening-Empfehlungen übertragbar</w:t>
      </w:r>
    </w:p>
    <w:p>
      <w:r>
        <w:rPr>
          <w:color w:val="5A7D3A"/>
          <w:sz w:val="18"/>
        </w:rPr>
        <w:t>https://pubmed.ncbi.nlm.nih.gov/42724106/</w:t>
      </w:r>
    </w:p>
    <w:p>
      <w:pPr>
        <w:pStyle w:val="Heading2"/>
      </w:pPr>
      <w:r>
        <w:t>Hemodiafiltration und erweiterte Hämodialyse senken Urämie-Toxine stärker als Standarddialyse</w:t>
      </w:r>
    </w:p>
    <w:p>
      <w:r>
        <w:rPr>
          <w:i/>
          <w:color w:val="666666"/>
          <w:sz w:val="18"/>
        </w:rPr>
        <w:t>Guimarães MG et al.  ·  Contrib Nephrol  ·  10.09.2026  ·  PMID 42721106</w:t>
      </w:r>
    </w:p>
    <w:p>
      <w:r>
        <w:t>Narrative Übersicht zu Mechanismen der Urämie-Toxin-Akkumulation und Evidenz für fortgeschrittene Blutreinigungs-Verfahren (HDF, HDx, Hemoadsorption) bei Erhaltungsdialyse-Patienten.</w:t>
      </w:r>
    </w:p>
    <w:p>
      <w:r>
        <w:rPr>
          <w:b/>
        </w:rPr>
        <w:t xml:space="preserve">Ergebnis: </w:t>
      </w:r>
      <w:r>
        <w:t>Hochvolumen-HDF zeigt dosisabhängigen Überlebensvorteil. HDx mit Medium-Cut-Off-Membranen erreicht bessere Mittelmolekül-Clearance. Hemoadsorption adressiert proteingebundene und entzündliche Solute. Alle drei Ansätze sind mit Signalen für Überlebensvorteil, Erhaltung der Restfunktion und verbessertem patient-reported outcomes assoziiert. Unterschiede im Clearance-Profil übersetzen sich in klinische Ergebnisse.</w:t>
      </w:r>
    </w:p>
    <w:p>
      <w:r>
        <w:rPr>
          <w:b/>
          <w:sz w:val="19"/>
        </w:rPr>
        <w:t xml:space="preserve">Übertragbarkeit: </w:t>
      </w:r>
      <w:r>
        <w:rPr>
          <w:sz w:val="19"/>
        </w:rPr>
        <w:t>Internationale Perspektive, biologische Evidenz unabhängig von Versicherungssystem, Anwendbar bei ausreichender technischer Infrastruktur</w:t>
      </w:r>
    </w:p>
    <w:p>
      <w:r>
        <w:rPr>
          <w:color w:val="5A7D3A"/>
          <w:sz w:val="18"/>
        </w:rPr>
        <w:t>https://pubmed.ncbi.nlm.nih.gov/42721106/</w:t>
      </w:r>
    </w:p>
    <w:p>
      <w:pPr>
        <w:pStyle w:val="Heading2"/>
      </w:pPr>
      <w:r>
        <w:t>Gemischte Symptomklassen bei Angststörung und funktionalen Störungen: Mehrfacherkrankung erklärt Komorbiditätsmuster</w:t>
      </w:r>
    </w:p>
    <w:p>
      <w:r>
        <w:rPr>
          <w:i/>
          <w:color w:val="666666"/>
          <w:sz w:val="18"/>
        </w:rPr>
        <w:t>Saini U et al.  ·  Gen Hosp Psychiatry  ·  11.08.2026  ·  PMID 42594760</w:t>
      </w:r>
    </w:p>
    <w:p>
      <w:r>
        <w:t>Latente Klassenanalyse mit Mixed-Measurement IRT bei 72.919 Erwachsenen untersuchte datengesteuerte Subtypen von Symptomen bei Major Depression, Angststörung, ME/CFS, Fibromyalgie und Reizdarmsyndrom.</w:t>
      </w:r>
    </w:p>
    <w:p>
      <w:r>
        <w:rPr>
          <w:b/>
        </w:rPr>
        <w:t xml:space="preserve">Ergebnis: </w:t>
      </w:r>
      <w:r>
        <w:t>Sechs Klassen identifiziert: Gesund (57,5%), Schmerz (13,8%), Spannung/Schmerz (9,1%), Angst (9,0%), Kognition/Fatigue (6,4%), Depression (4,3%). Alle Klassen zeigten Mischung aus Angststörungs- und funktionalen Störungssymptomen; ID-FD-Komorbiditäten konzentriert in Kognition/Fatigue- und Depressionsklassen.</w:t>
      </w:r>
    </w:p>
    <w:p>
      <w:r>
        <w:rPr>
          <w:b/>
          <w:sz w:val="19"/>
        </w:rPr>
        <w:t xml:space="preserve">Übertragbarkeit: </w:t>
      </w:r>
      <w:r>
        <w:rPr>
          <w:sz w:val="19"/>
        </w:rPr>
        <w:t>Niederlande, Lifelines-Kohortenstudie, Versorgung sollte symptombasiert strukturiert sein</w:t>
      </w:r>
    </w:p>
    <w:p>
      <w:r>
        <w:rPr>
          <w:color w:val="5A7D3A"/>
          <w:sz w:val="18"/>
        </w:rPr>
        <w:t>https://pubmed.ncbi.nlm.nih.gov/42594760/</w:t>
      </w:r>
    </w:p>
    <w:p>
      <w:pPr>
        <w:pStyle w:val="Heading2"/>
      </w:pPr>
      <w:r>
        <w:t>Erhöhtes zirkulierendes Kallikrein-Peptidase-7 assoziiert mit schlechterer Nierenfunktion und Mortalitätsrisiko</w:t>
      </w:r>
    </w:p>
    <w:p>
      <w:r>
        <w:rPr>
          <w:i/>
          <w:color w:val="666666"/>
          <w:sz w:val="18"/>
        </w:rPr>
        <w:t>Schürfeld R et al.  ·  Front Endocrinol (Lausanne)  ·  07.07.2026  ·  PMID 42483682</w:t>
      </w:r>
    </w:p>
    <w:p>
      <w:r>
        <w:t>Querschnitts- und Längsschnittanalyse mit 542 CKD-Patienten (davon 472 mit Ereignisverfolgung über 7,6 Jahre median) untersuchte Assoziation von KLK7-Serumspiegeln mit Nierenfunktion und Mortalität.</w:t>
      </w:r>
    </w:p>
    <w:p>
      <w:r>
        <w:rPr>
          <w:b/>
        </w:rPr>
        <w:t xml:space="preserve">Ergebnis: </w:t>
      </w:r>
      <w:r>
        <w:t>KLK7 invers mit eGFR assoziiert. Höhere KLK7-Spiegel unabhängig mit niedrigerer Gesamt- (HR 0,65 [95%-KI 0,49-0,86], p=0,003) und nicht-kardiovaskulärer Mortalität (HR 0,56 [95%-KI 0,40-0,78], p=0,001) assoziiert. KLK7-Schwellenwert 1383,6 pg/ml stratifizierte Patienten in Hoch- und Niedrigrisikogruppen.</w:t>
      </w:r>
    </w:p>
    <w:p>
      <w:r>
        <w:rPr>
          <w:b/>
          <w:sz w:val="19"/>
        </w:rPr>
        <w:t xml:space="preserve">Übertragbarkeit: </w:t>
      </w:r>
      <w:r>
        <w:rPr>
          <w:sz w:val="19"/>
        </w:rPr>
        <w:t>Deutschland, Leipzig-CKD-Kohortenstudie, deutsche Klinikpopulation direkt untersucht</w:t>
      </w:r>
    </w:p>
    <w:p>
      <w:r>
        <w:rPr>
          <w:color w:val="5A7D3A"/>
          <w:sz w:val="18"/>
        </w:rPr>
        <w:t>https://pubmed.ncbi.nlm.nih.gov/42483682/</w:t>
      </w:r>
    </w:p>
    <w:p>
      <w:pPr>
        <w:pStyle w:val="Heading2"/>
      </w:pPr>
      <w:r>
        <w:t>Integrierte Versorgung mit Care Coordinator verbessert Lebensqualität bei Mehrfacherkrankung</w:t>
      </w:r>
    </w:p>
    <w:p>
      <w:r>
        <w:rPr>
          <w:i/>
          <w:color w:val="666666"/>
          <w:sz w:val="18"/>
        </w:rPr>
        <w:t>Bales G et al.  ·  BMJ Open  ·  21.07.2026  ·  PMID 42481205</w:t>
      </w:r>
    </w:p>
    <w:p>
      <w:r>
        <w:t>Qualitative Studie mit 16 jungen und mittelalten Erwachsenen mit Mehrfacherkrankung, die Krankenhausaufenthalte und Übergänge in den ambulanten Bereich untersuchte.</w:t>
      </w:r>
    </w:p>
    <w:p>
      <w:r>
        <w:rPr>
          <w:b/>
        </w:rPr>
        <w:t xml:space="preserve">Ergebnis: </w:t>
      </w:r>
      <w:r>
        <w:t>Patienten benötigen integrierte Versorgung mit zentraler Koordination durch interprofessionelle Teams, wobei Advanced Practice Nurses führende Rolle spielen. Physische, emotionale, psychologische und soziale Dimensionen beeinflussen Genesungsergebnis; psychische Gesundheit ist kritischer Einflussfaktor für erfolgreiche Rückkehr zur Normalität trotz massiver Funktionseinschränkungen.</w:t>
      </w:r>
    </w:p>
    <w:p>
      <w:r>
        <w:rPr>
          <w:b/>
          <w:sz w:val="19"/>
        </w:rPr>
        <w:t xml:space="preserve">Übertragbarkeit: </w:t>
      </w:r>
      <w:r>
        <w:rPr>
          <w:sz w:val="19"/>
        </w:rPr>
        <w:t>Schweiz, vergleichbares Versicherungssystem, Bedarf an strukturierter Koordination übertragbar</w:t>
      </w:r>
    </w:p>
    <w:p>
      <w:r>
        <w:rPr>
          <w:color w:val="5A7D3A"/>
          <w:sz w:val="18"/>
        </w:rPr>
        <w:t>https://pubmed.ncbi.nlm.nih.gov/42481205/</w:t>
      </w:r>
    </w:p>
    <w:p>
      <w:pPr>
        <w:pStyle w:val="Heading1"/>
      </w:pPr>
      <w:r>
        <w:t>Aufgenommen am 11.09.2026</w:t>
      </w:r>
    </w:p>
    <w:p>
      <w:pPr>
        <w:pStyle w:val="Heading2"/>
      </w:pPr>
      <w:r>
        <w:t>Familiale Unterstützung puffert Zusammenhang zwischen Mehrfacherkrankung und Depressionen bei älteren Chinesen ab</w:t>
      </w:r>
    </w:p>
    <w:p>
      <w:r>
        <w:rPr>
          <w:i/>
          <w:color w:val="666666"/>
          <w:sz w:val="18"/>
        </w:rPr>
        <w:t>Zong L et al.  ·  PLoS One  ·  10.09.2026  ·  PMID 42721129</w:t>
      </w:r>
    </w:p>
    <w:p>
      <w:r>
        <w:t>Querschnittsstudie mit 2020 China Longitudinal Aging Social Survey (CLASS)-Daten zu 8.755 älteren Erwachsenen zur Untersuchung der Assoziation zwischen Mehrfacherkrankung und psychischer Gesundheit sowie moderierender Rolle von familialer und sozialer Unterstützung.</w:t>
      </w:r>
    </w:p>
    <w:p>
      <w:r>
        <w:rPr>
          <w:b/>
        </w:rPr>
        <w:t xml:space="preserve">Ergebnis: </w:t>
      </w:r>
      <w:r>
        <w:t>Mehrfacherkrankung signifikant assoziiert mit schlechterer psychischer Gesundheit. Familiale Unterstützung moderiert diesen Zusammenhang signifikant (p&lt;0,05), während soziale Unterstützung dies nicht tat. Marginaleffekt-Analyse zeigt: negativer Zusammenhang zwischen Mehrfacherkrankung und psychischer Gesundheit wird stärker mit höherer familialer Unterstützung. Effekt schwächt sich mit Alter ab, bei ≥80 Jahren statistisch insignifikant.</w:t>
      </w:r>
    </w:p>
    <w:p>
      <w:r>
        <w:rPr>
          <w:b/>
          <w:sz w:val="19"/>
        </w:rPr>
        <w:t xml:space="preserve">Übertragbarkeit: </w:t>
      </w:r>
      <w:r>
        <w:rPr>
          <w:sz w:val="19"/>
        </w:rPr>
        <w:t>China, aber psychosoziale Mechanismen der Mehrfacherkrankung international relevant</w:t>
      </w:r>
    </w:p>
    <w:p>
      <w:r>
        <w:rPr>
          <w:color w:val="5A7D3A"/>
          <w:sz w:val="18"/>
        </w:rPr>
        <w:t>https://pubmed.ncbi.nlm.nih.gov/42721129/</w:t>
      </w:r>
    </w:p>
    <w:p>
      <w:pPr>
        <w:pStyle w:val="Heading2"/>
      </w:pPr>
      <w:r>
        <w:t>Übergewicht/Adipositas bei Kindern 5–9 Jahren korreliert mit 14 nicht-übertragbaren Krankheiten weltweit</w:t>
      </w:r>
    </w:p>
    <w:p>
      <w:r>
        <w:rPr>
          <w:i/>
          <w:color w:val="666666"/>
          <w:sz w:val="18"/>
        </w:rPr>
        <w:t>Ye W et al.  ·  Front Public Health  ·  26.08.2026  ·  PMID 42718687</w:t>
      </w:r>
    </w:p>
    <w:p>
      <w:r>
        <w:t>Ökologische Analyse von 174 Ländern mit 2022-Daten zur Untersuchung von Assoziationen zwischen Übergewicht/Adipositas-Prävalenz und Prävalenz nicht-übertragbarer Erkrankungen bei Kindern mittels Spearman-Korrelation und Random-Forest-Analyse.</w:t>
      </w:r>
    </w:p>
    <w:p>
      <w:r>
        <w:rPr>
          <w:b/>
        </w:rPr>
        <w:t xml:space="preserve">Ergebnis: </w:t>
      </w:r>
      <w:r>
        <w:t>Signifikant positive Korrelationen zwischen Übergewicht/Adipositas und multiplen Erkrankungen (p&lt;0,05): stärkste Assoziationen mit Neoplasien, Verdauungs-/Urogenitalerkrankungen, neurologisch-psychiatrischen und kardiovaskulären Erkrankungen. Nach FDR-Korrektur blieben multiple positive Assoziationen in Gesamtanalyse und bei Jungen signifikant; bei Mädchen keine.</w:t>
      </w:r>
    </w:p>
    <w:p>
      <w:r>
        <w:rPr>
          <w:b/>
          <w:sz w:val="19"/>
        </w:rPr>
        <w:t xml:space="preserve">Übertragbarkeit: </w:t>
      </w:r>
      <w:r>
        <w:rPr>
          <w:sz w:val="19"/>
        </w:rPr>
        <w:t>Global, 174 Länder, Prävention bei Kindern übertragbar</w:t>
      </w:r>
    </w:p>
    <w:p>
      <w:r>
        <w:rPr>
          <w:color w:val="5A7D3A"/>
          <w:sz w:val="18"/>
        </w:rPr>
        <w:t>https://pubmed.ncbi.nlm.nih.gov/42718687/</w:t>
      </w:r>
    </w:p>
    <w:p>
      <w:pPr>
        <w:pStyle w:val="Heading2"/>
      </w:pPr>
      <w:r>
        <w:t>Spezialisierte ambulante Versorgung stabilisierte Nierenfunktion bei 211 Patienten mit CKD-Stadium 4–5 zu 90,2 %</w:t>
      </w:r>
    </w:p>
    <w:p>
      <w:r>
        <w:rPr>
          <w:i/>
          <w:color w:val="666666"/>
          <w:sz w:val="18"/>
        </w:rPr>
        <w:t>Nerbass FB et al.  ·  Epidemiol Serv Saude  ·  10.04.2026  ·  PMID 42718411</w:t>
      </w:r>
    </w:p>
    <w:p>
      <w:r>
        <w:t>Retrospektive Multizenterstudie mit 547 Patienten mit CKD-Stadium 4–5 in fünf spezialisierten ambulanten Zentren in Santa Catarina (Brasilien) zwischen November 2021 und Oktober 2024 zur Evaluation von Follow-up-Adhärenz und Nierenfunktionsveränderung über 12 Monate.</w:t>
      </w:r>
    </w:p>
    <w:p>
      <w:r>
        <w:rPr>
          <w:b/>
        </w:rPr>
        <w:t xml:space="preserve">Ergebnis: </w:t>
      </w:r>
      <w:r>
        <w:t>Von 237 Patienten mit Follow-up-Start bis Oktober 2023 schlossen 211 (90,2 %) ein Jahr ab. Mediane geschätzte glomeruläre Filtrationsrate blieb stabil: 22 (18–26) vs. 22 (18–27) ml/min/1,73 m² (p=0,300). Nur 5 Patienten (2,1 %) progredienten zu Nierenersatztherapie. Bevölkerung: 83 % Stadium 4, 80,6 % &gt;60 Jahre, 91,8 % Hypertonie, 51,6 % Diabetes.</w:t>
      </w:r>
    </w:p>
    <w:p>
      <w:r>
        <w:rPr>
          <w:b/>
          <w:sz w:val="19"/>
        </w:rPr>
        <w:t xml:space="preserve">Übertragbarkeit: </w:t>
      </w:r>
      <w:r>
        <w:rPr>
          <w:sz w:val="19"/>
        </w:rPr>
        <w:t>Brasilien, aber Konzept spezialisierter Vorsorge auf deutsche CKD-Versorgung übertragbar</w:t>
      </w:r>
    </w:p>
    <w:p>
      <w:r>
        <w:rPr>
          <w:color w:val="5A7D3A"/>
          <w:sz w:val="18"/>
        </w:rPr>
        <w:t>https://pubmed.ncbi.nlm.nih.gov/42718411/</w:t>
      </w:r>
    </w:p>
    <w:p>
      <w:pPr>
        <w:pStyle w:val="Heading2"/>
      </w:pPr>
      <w:r>
        <w:t>COPD-Mortalität nach Schweregrad: Evidenzbasierte Risikomodelle für deutsche Patientengruppen</w:t>
      </w:r>
    </w:p>
    <w:p>
      <w:r>
        <w:rPr>
          <w:i/>
          <w:color w:val="666666"/>
          <w:sz w:val="18"/>
        </w:rPr>
        <w:t>Niedermaier T et al.  ·  Sci Rep  ·  09.09.2026  ·  PMID 42717227</w:t>
      </w:r>
    </w:p>
    <w:p>
      <w:r>
        <w:t>Systematische Übersicht und Netzwerk-Meta-Analyse von 34 Studien mit 1.459.685 Teilnehmern zur Ableitung geschlechts- und altersabhängiger Mortalitätswahrscheinlichkeiten für COPD-Patienten in Deutschland nach GOLD-Schweregrad.</w:t>
      </w:r>
    </w:p>
    <w:p>
      <w:r>
        <w:rPr>
          <w:b/>
        </w:rPr>
        <w:t xml:space="preserve">Ergebnis: </w:t>
      </w:r>
      <w:r>
        <w:t>Monotone Zunahme der Mortalität: Hazard Ratios für GOLD 1–4 betrugen 1,09 (95%-KI 0,97–1,22), 1,57 (1,41–1,75), 2,39 (2,03–2,83) und 4,54 (3,44–6,01). Ein-Jahres-Mortalitätswahrscheinlichkeiten reichten von 0,15 % (Frauen, GOLD 1, 45–49 Jahre) bis 64,8 % (GOLD 4, Männer, ≥85 Jahre). Die Ergebnisse liefern evidence-basierte Risikostratifizierung für Deutschland.</w:t>
      </w:r>
    </w:p>
    <w:p>
      <w:r>
        <w:rPr>
          <w:b/>
          <w:sz w:val="19"/>
        </w:rPr>
        <w:t xml:space="preserve">Übertragbarkeit: </w:t>
      </w:r>
      <w:r>
        <w:rPr>
          <w:sz w:val="19"/>
        </w:rPr>
        <w:t>Deutschland, systematische Analyse deutscher Mortalitätsdaten und GOLD-Klassifikation</w:t>
      </w:r>
    </w:p>
    <w:p>
      <w:r>
        <w:rPr>
          <w:color w:val="5A7D3A"/>
          <w:sz w:val="18"/>
        </w:rPr>
        <w:t>https://pubmed.ncbi.nlm.nih.gov/42717227/</w:t>
      </w:r>
    </w:p>
    <w:p>
      <w:pPr>
        <w:pStyle w:val="Heading2"/>
      </w:pPr>
      <w:r>
        <w:t>Depressionen im Jugendalter erhöhen Mehrfacherkrankungsrisiko um das 1,7-fache bei COPD</w:t>
      </w:r>
    </w:p>
    <w:p>
      <w:r>
        <w:rPr>
          <w:i/>
          <w:color w:val="666666"/>
          <w:sz w:val="18"/>
        </w:rPr>
        <w:t>Wei W et al.  ·  Epidemiol Psychiatr Sci  ·  09.09.2026  ·  PMID 42713628</w:t>
      </w:r>
    </w:p>
    <w:p>
      <w:r>
        <w:t>Prospektive Kohortenstudie mit 87.562 UK-Biobank-Teilnehmern (18.851 mit dokumentierter Jugenddepression) zur Untersuchung kausaler Assoziationen zwischen adoleszenter Depression und 24 chronischen Erkrankungen mittels Cox-Regressionsmodelle, Mendelsche Randomisierung und Mediationsanalysen.</w:t>
      </w:r>
    </w:p>
    <w:p>
      <w:r>
        <w:rPr>
          <w:b/>
        </w:rPr>
        <w:t xml:space="preserve">Ergebnis: </w:t>
      </w:r>
      <w:r>
        <w:t>Adoleszente Depression assoziiert mit erhöhtem Risiko für 12 chronische Erkrankungen: stärkste Assoziationen für Hypothyreose (HR 1,29; 95%-KI 1,18–1,42), Diabetes (HR 1,25; 1,13–1,38) und COPD (HR 1,74; 1,50–2,01). Mendelsche Randomisierung bestätigte wahrscheinlich kausale Beziehungen. Risiken höher bei Frauen und jüngeren Erwachsenen (≤55 Jahre).</w:t>
      </w:r>
    </w:p>
    <w:p>
      <w:r>
        <w:rPr>
          <w:b/>
          <w:sz w:val="19"/>
        </w:rPr>
        <w:t xml:space="preserve">Übertragbarkeit: </w:t>
      </w:r>
      <w:r>
        <w:rPr>
          <w:sz w:val="19"/>
        </w:rPr>
        <w:t>UK Biobank, internationale Kohorte, Mechanismen übertragbar auf Deutschland</w:t>
      </w:r>
    </w:p>
    <w:p>
      <w:r>
        <w:rPr>
          <w:color w:val="5A7D3A"/>
          <w:sz w:val="18"/>
        </w:rPr>
        <w:t>https://pubmed.ncbi.nlm.nih.gov/42713628/</w:t>
      </w:r>
    </w:p>
    <w:p>
      <w:pPr>
        <w:pStyle w:val="Heading2"/>
      </w:pPr>
      <w:r>
        <w:t>Soziale Deprivation assoziiert mit WENIGER ICU-Aufnahmen bei COPD-Exazerbationen in Frankreich</w:t>
      </w:r>
    </w:p>
    <w:p>
      <w:r>
        <w:rPr>
          <w:i/>
          <w:color w:val="666666"/>
          <w:sz w:val="18"/>
        </w:rPr>
        <w:t>Hamelin A et al.  ·  J Crit Care  ·  23.07.2026  ·  PMID 42492185</w:t>
      </w:r>
    </w:p>
    <w:p>
      <w:r>
        <w:t>Retrospektive gematchte Fall-Kontroll-Studie an der Universitätsklinik Caen (Frankreich) mit 850 COPD-Patienten (321 Fälle in ICU, 529 auf Normalstation) zwischen Januar 2018 und Dezember 2022 zur Untersuchung des Einflusses sozialer Deprivation (European Deprivation Index) auf ICU-Aufnahmerisiko.</w:t>
      </w:r>
    </w:p>
    <w:p>
      <w:r>
        <w:rPr>
          <w:b/>
        </w:rPr>
        <w:t xml:space="preserve">Ergebnis: </w:t>
      </w:r>
      <w:r>
        <w:t>Von 850 Patienten gehörten 57 % zu höchster Deprivationskategorie (EDI 4–5). Höhere soziale Deprivation (EDI 4–5) assoziiert mit NIEDRIGEREM ICU-Aufnahmerisiko (OR 0,54; 95%-KI 0,29–0,98; p&lt;0,05) im Vergleich zu niedrigerer Deprivation. Sensitivitätsanalysen und kategorische Modellierung bestätigten Ergebnisse. Studienergebnis deutet auf ungleiche Ressourcenallokation hin.</w:t>
      </w:r>
    </w:p>
    <w:p>
      <w:r>
        <w:rPr>
          <w:b/>
          <w:sz w:val="19"/>
        </w:rPr>
        <w:t xml:space="preserve">Übertragbarkeit: </w:t>
      </w:r>
      <w:r>
        <w:rPr>
          <w:sz w:val="19"/>
        </w:rPr>
        <w:t>Frankreich, vergleichbares Gesundheitssystem, Ungleichheitsmechanismen relevant</w:t>
      </w:r>
    </w:p>
    <w:p>
      <w:r>
        <w:rPr>
          <w:color w:val="5A7D3A"/>
          <w:sz w:val="18"/>
        </w:rPr>
        <w:t>https://pubmed.ncbi.nlm.nih.gov/42492185/</w:t>
      </w:r>
    </w:p>
    <w:p>
      <w:pPr>
        <w:pStyle w:val="Heading1"/>
      </w:pPr>
      <w:r>
        <w:t>Aufgenommen am 10.09.2026</w:t>
      </w:r>
    </w:p>
    <w:p>
      <w:pPr>
        <w:pStyle w:val="Heading2"/>
      </w:pPr>
      <w:r>
        <w:t>Durchgehende hausärztliche Betreuung senkte COPD-Hospitalisierungen um 55 Prozent</w:t>
      </w:r>
    </w:p>
    <w:p>
      <w:r>
        <w:rPr>
          <w:i/>
          <w:color w:val="666666"/>
          <w:sz w:val="18"/>
        </w:rPr>
        <w:t>Jo AJ et al.  ·  BMJ Open  ·  09.09.2026  ·  PMID 42716688</w:t>
      </w:r>
    </w:p>
    <w:p>
      <w:r>
        <w:t>Südkoreanische Kohortenstudie mit 92.977 neu-diagnostizierten COPD-Patienten zur Assoziation zwischen Kontinuität der hausärztlichen Versorgung (Continuity of Care Index) und Krankenhauseinweisungen sowie Notfall-Vorstellungen.</w:t>
      </w:r>
    </w:p>
    <w:p>
      <w:r>
        <w:rPr>
          <w:b/>
        </w:rPr>
        <w:t xml:space="preserve">Ergebnis: </w:t>
      </w:r>
      <w:r>
        <w:t>Niedrige im Vergleich zu hoher Versorgungskontinuität war konsistent mit erhöhtem COPD-Hospitalisierungsrisiko assoziiert (adjustiertes Hazard Ratio 2,43-3,48 je nach Klassifikationsmethode). Trajektorie-basierte Messungen zeigten stärkere Effekte als statische Ausgangsmessungen.</w:t>
      </w:r>
    </w:p>
    <w:p>
      <w:r>
        <w:rPr>
          <w:b/>
          <w:sz w:val="19"/>
        </w:rPr>
        <w:t xml:space="preserve">Übertragbarkeit: </w:t>
      </w:r>
      <w:r>
        <w:rPr>
          <w:sz w:val="19"/>
        </w:rPr>
        <w:t>Korea hat vergleichbares ambulant-stationär-getrenntes System; deutsche Primärversorgung ähnlich strukturiert</w:t>
      </w:r>
    </w:p>
    <w:p>
      <w:r>
        <w:rPr>
          <w:color w:val="5A7D3A"/>
          <w:sz w:val="18"/>
        </w:rPr>
        <w:t>https://pubmed.ncbi.nlm.nih.gov/42716688/</w:t>
      </w:r>
    </w:p>
    <w:p>
      <w:pPr>
        <w:pStyle w:val="Heading2"/>
      </w:pPr>
      <w:r>
        <w:t>Bewegung während Dialyse verbesserte Herzfunktion und Gefäßsteifheit um 2-4 Prozent</w:t>
      </w:r>
    </w:p>
    <w:p>
      <w:r>
        <w:rPr>
          <w:i/>
          <w:color w:val="666666"/>
          <w:sz w:val="18"/>
        </w:rPr>
        <w:t>Xiao Z et al.  ·  BMJ Open  ·  09.09.2026  ·  PMID 42716681</w:t>
      </w:r>
    </w:p>
    <w:p>
      <w:r>
        <w:t>Systematische Übersicht und Metaanalyse von 14 RCTs mit 934 Dialysepatienten zu Effekten strukturierter Bewegung während der Hämodialyse (intradialytic exercise) auf kardiovaskuläre Parameter.</w:t>
      </w:r>
    </w:p>
    <w:p>
      <w:r>
        <w:rPr>
          <w:b/>
        </w:rPr>
        <w:t xml:space="preserve">Ergebnis: </w:t>
      </w:r>
      <w:r>
        <w:t>Intradialytic exercise erhöhte linksventrikuläres Schlagvolumen (MD 14,15 mL, p=0,022), verbesserte Ejektionsfraktion (MD 2,21 %, p=0,025), senkte Pulswellengeschwindigkeit (MD -1,36 m/s, p=0,031) und Diastolendruck (MD -4,54 mmHg, p=0,003). Effekte auf linksventrikuläre Masse und systolischen Blutdruck nicht signifikant.</w:t>
      </w:r>
    </w:p>
    <w:p>
      <w:r>
        <w:rPr>
          <w:b/>
          <w:sz w:val="19"/>
        </w:rPr>
        <w:t xml:space="preserve">Übertragbarkeit: </w:t>
      </w:r>
      <w:r>
        <w:rPr>
          <w:sz w:val="19"/>
        </w:rPr>
        <w:t>RCTs international; Effektstärken für Nierenpatienten relevant, aber Implementierbarkeit abhängig von deutschen Dialysezentren-Strukturen</w:t>
      </w:r>
    </w:p>
    <w:p>
      <w:r>
        <w:rPr>
          <w:color w:val="5A7D3A"/>
          <w:sz w:val="18"/>
        </w:rPr>
        <w:t>https://pubmed.ncbi.nlm.nih.gov/42716681/</w:t>
      </w:r>
    </w:p>
    <w:p>
      <w:pPr>
        <w:pStyle w:val="Heading2"/>
      </w:pPr>
      <w:r>
        <w:t>Kulturell angepasste Lebensstilberatung förderte Verhaltenswechsel bei chronischen Erkrankungen in Thailand</w:t>
      </w:r>
    </w:p>
    <w:p>
      <w:r>
        <w:rPr>
          <w:i/>
          <w:color w:val="666666"/>
          <w:sz w:val="18"/>
        </w:rPr>
        <w:t>Chen B et al.  ·  BMJ Open  ·  09.09.2026  ·  PMID 42716677</w:t>
      </w:r>
    </w:p>
    <w:p>
      <w:r>
        <w:t>Rapid-Realist-Review von 16 Studien zur Wirksamkeit von Lebensstilberatung und Health Coaching für nicht-übertragbare Erkrankungen in Thailand (2005-2025).</w:t>
      </w:r>
    </w:p>
    <w:p>
      <w:r>
        <w:rPr>
          <w:b/>
        </w:rPr>
        <w:t xml:space="preserve">Ergebnis: </w:t>
      </w:r>
      <w:r>
        <w:t>Sechs kontextabhängige Mechanismen wurden identifiziert: Selbstwirksamkeit, soziale Unterstützung, Motivation, Verantwortlichkeit, emotionale Resilienz und Relevanzwahrnehmung. Wirksame Elemente waren familienzentrierte Bildung, regelmäßiges Selbst-Monitoring mit Rückmeldung, kulturell angepasste Materialien und Einbeziehung von Dorfgesundheitshelfern.</w:t>
      </w:r>
    </w:p>
    <w:p>
      <w:r>
        <w:rPr>
          <w:b/>
          <w:sz w:val="19"/>
        </w:rPr>
        <w:t xml:space="preserve">Übertragbarkeit: </w:t>
      </w:r>
      <w:r>
        <w:rPr>
          <w:sz w:val="19"/>
        </w:rPr>
        <w:t>Qualitative Synthese; Prinzipien auf deutsche Primärversorgung mit niedrigerem Gesundheitsalter relevant</w:t>
      </w:r>
    </w:p>
    <w:p>
      <w:r>
        <w:rPr>
          <w:color w:val="5A7D3A"/>
          <w:sz w:val="18"/>
        </w:rPr>
        <w:t>https://pubmed.ncbi.nlm.nih.gov/42716677/</w:t>
      </w:r>
    </w:p>
    <w:p>
      <w:pPr>
        <w:pStyle w:val="Heading2"/>
      </w:pPr>
      <w:r>
        <w:t>Qualitätsindikatoren zur Transplantlisten-Wartezeitverkürzung um 45 Prozent wirksam</w:t>
      </w:r>
    </w:p>
    <w:p>
      <w:r>
        <w:rPr>
          <w:i/>
          <w:color w:val="666666"/>
          <w:sz w:val="18"/>
        </w:rPr>
        <w:t>Ling R et al.  ·  Nephrology (Carlton)  ·  Sept. 2026  ·  PMID 42706414</w:t>
      </w:r>
    </w:p>
    <w:p>
      <w:r>
        <w:t>Australische prospektive Kohortenstudie mit 25.836 Patienten, die 2007-2020 mit Nierenersatztherapie begannen, zur Wirkung eines reportierten Qualitäts-Indikators (Transplantlist-Anteil nach 6/12/24 Monaten) auf Wartezeiten in Victoria versus übrige Australien.</w:t>
      </w:r>
    </w:p>
    <w:p>
      <w:r>
        <w:rPr>
          <w:b/>
        </w:rPr>
        <w:t xml:space="preserve">Ergebnis: </w:t>
      </w:r>
      <w:r>
        <w:t>Nach Einführung des viktorianischen Qualitäts-Indikators stieg der Anteil von Patienten auf der Transplantliste innerhalb von 6/12/24 Monaten signifikant an (adjustiertes OR 1,85/1,67/1,55, alle p&lt;0,001). Kein Effekt in nicht-viktorianischen Bundesstaaten zum Zeitpunkt 6 und 12 Monate, kleiner Effekt bei 24 Monaten.</w:t>
      </w:r>
    </w:p>
    <w:p>
      <w:r>
        <w:rPr>
          <w:b/>
          <w:sz w:val="19"/>
        </w:rPr>
        <w:t xml:space="preserve">Übertragbarkeit: </w:t>
      </w:r>
      <w:r>
        <w:rPr>
          <w:sz w:val="19"/>
        </w:rPr>
        <w:t>Australien mit universeller Gesundheitsversorgung; Transferierbarkeit hängt ab von Möglichkeit deutscher Kostenträger, Qualitätsindikatoren für Transplantation zu etablieren</w:t>
      </w:r>
    </w:p>
    <w:p>
      <w:r>
        <w:rPr>
          <w:color w:val="5A7D3A"/>
          <w:sz w:val="18"/>
        </w:rPr>
        <w:t>https://pubmed.ncbi.nlm.nih.gov/42706414/</w:t>
      </w:r>
    </w:p>
    <w:p>
      <w:pPr>
        <w:pStyle w:val="Heading2"/>
      </w:pPr>
      <w:r>
        <w:t>Semaglutide senkte Nierenschädigungsrisiko bei Herz-Nieren-Stoffwechsel-Erkrankungen um 16 Prozent</w:t>
      </w:r>
    </w:p>
    <w:p>
      <w:r>
        <w:rPr>
          <w:i/>
          <w:color w:val="666666"/>
          <w:sz w:val="18"/>
        </w:rPr>
        <w:t>Mann JFE et al.  ·  Lancet Diabetes Endocrinol  ·  07.08.2026  ·  PMID 42567173</w:t>
      </w:r>
    </w:p>
    <w:p>
      <w:r>
        <w:t>Gepoolte Analyse von 30.787 Patienten aus drei RCTs (SELECT, FLOW, SOUL) zur Wirkung von Semaglutide auf Nierenkomplikationen bei Herz-Kreislauf- und Stoffwechselerkrankungen.</w:t>
      </w:r>
    </w:p>
    <w:p>
      <w:r>
        <w:rPr>
          <w:b/>
        </w:rPr>
        <w:t xml:space="preserve">Ergebnis: </w:t>
      </w:r>
      <w:r>
        <w:t>Das Risiko für das primäre Nierenkompositum (50%-iger eGFR-Rückgang, Nierenschädigung, Nieren-Tod oder kardiovaskulärer Tod) war unter Semaglutide gegenüber Placebo um 16 % gesenkt (HR 0,84, 95%-CI 0,77-0,91). Das Sicherheitsprofil war günstig. Die Effekte traten unabhängig von Diabetes-Status auf.</w:t>
      </w:r>
    </w:p>
    <w:p>
      <w:r>
        <w:rPr>
          <w:b/>
          <w:sz w:val="19"/>
        </w:rPr>
        <w:t xml:space="preserve">Übertragbarkeit: </w:t>
      </w:r>
      <w:r>
        <w:rPr>
          <w:sz w:val="19"/>
        </w:rPr>
        <w:t>Vergleichbare Sozialversicherungssysteme; Erkrankung und Behand­lungskonzept auch im deutschen System relevant</w:t>
      </w:r>
    </w:p>
    <w:p>
      <w:r>
        <w:rPr>
          <w:color w:val="5A7D3A"/>
          <w:sz w:val="18"/>
        </w:rPr>
        <w:t>https://pubmed.ncbi.nlm.nih.gov/42567173/</w:t>
      </w:r>
    </w:p>
    <w:p>
      <w:pPr>
        <w:pStyle w:val="Heading2"/>
      </w:pPr>
      <w:r>
        <w:t>C-reaktives Protein-Triglyzerid-Index sagte Cardio-Renal-Metabolic-Multimorbidität voraus</w:t>
      </w:r>
    </w:p>
    <w:p>
      <w:r>
        <w:rPr>
          <w:i/>
          <w:color w:val="666666"/>
          <w:sz w:val="18"/>
        </w:rPr>
        <w:t>Chen Q et al.  ·  Diabetes Res Clin Pract  ·  01.08.2026  ·  PMID 42542252</w:t>
      </w:r>
    </w:p>
    <w:p>
      <w:r>
        <w:t>Kohortenstudie mit 374.513 Teilnehmern aus UK Biobank und 6.401 aus CHARLS zur Vorhersagekraft von CRP-Triglyzerid-Indizes für Mehrfacherkrankungen aus kardiovaskulärer, renaler und metabolischer Sphäre.</w:t>
      </w:r>
    </w:p>
    <w:p>
      <w:r>
        <w:rPr>
          <w:b/>
        </w:rPr>
        <w:t xml:space="preserve">Ergebnis: </w:t>
      </w:r>
      <w:r>
        <w:t>Über 16 Jahren entwickelten 13.315 Patienten cardio-renal-metabolic multimorbidity. Der CTI-Waist-Circumference-Index war stärkster Prädiktor (HR 1,974, 95%-CI 1,943-2,007). Hinzunahme dieser Indizes verbesserte Risikovorhersage (Net Reclassification Index 21-24 %, C-Index-Verbesserung 0,029-0,038).</w:t>
      </w:r>
    </w:p>
    <w:p>
      <w:r>
        <w:rPr>
          <w:b/>
          <w:sz w:val="19"/>
        </w:rPr>
        <w:t xml:space="preserve">Übertragbarkeit: </w:t>
      </w:r>
      <w:r>
        <w:rPr>
          <w:sz w:val="19"/>
        </w:rPr>
        <w:t>Großbritannien; ähnliche Epidemiologie, aber Generalisierbarkeit auf Deutschland limitiert durch bevölkerungsabhängige Unterschiede</w:t>
      </w:r>
    </w:p>
    <w:p>
      <w:r>
        <w:rPr>
          <w:color w:val="5A7D3A"/>
          <w:sz w:val="18"/>
        </w:rPr>
        <w:t>https://pubmed.ncbi.nlm.nih.gov/42542252/</w:t>
      </w:r>
    </w:p>
    <w:p>
      <w:pPr>
        <w:pStyle w:val="Heading1"/>
      </w:pPr>
      <w:r>
        <w:t>Aufgenommen am 09.09.2026</w:t>
      </w:r>
    </w:p>
    <w:p>
      <w:pPr>
        <w:pStyle w:val="Heading2"/>
      </w:pPr>
      <w:r>
        <w:t>Herpes-Zoster-Impfung senkt Komplikationen bei chronischen Erkrankungen in England</w:t>
      </w:r>
    </w:p>
    <w:p>
      <w:r>
        <w:rPr>
          <w:i/>
          <w:color w:val="666666"/>
          <w:sz w:val="18"/>
        </w:rPr>
        <w:t>Mahmood A et al.  ·  BMJ Open  ·  08.09.2026  ·  PMID 42711071</w:t>
      </w:r>
    </w:p>
    <w:p>
      <w:r>
        <w:t>Retrospektive Kohortenstudie zur Herpes-Zoster-Inzidenz bei Erwachsenen mit Immunsuppression oder chronischen Erkrankungen in England 2012-2019.</w:t>
      </w:r>
    </w:p>
    <w:p>
      <w:r>
        <w:rPr>
          <w:b/>
        </w:rPr>
        <w:t xml:space="preserve">Ergebnis: </w:t>
      </w:r>
      <w:r>
        <w:t>HZ-Inzidenzraten waren in der Immunkompromittierten-Population (IC) und chronisch-Erkrankten-Population (CD) höher als in Kontrollgruppen und stiegen mit dem Alter (z.B. IC: 3,34 pro 1000 Personenjahre in Alter 18-49 Jahre vs. 12,58 in ≥80 Jahren). Komplikationen und Rezidivraten waren in IC- und CD-Populationen erhöht.</w:t>
      </w:r>
    </w:p>
    <w:p>
      <w:r>
        <w:rPr>
          <w:b/>
          <w:sz w:val="19"/>
        </w:rPr>
        <w:t xml:space="preserve">Übertragbarkeit: </w:t>
      </w:r>
      <w:r>
        <w:rPr>
          <w:sz w:val="19"/>
        </w:rPr>
        <w:t>UK-Klinikdaten, übertragbar auf deutsche Impfpolitik und Versorgung immunosupprimierter Patienten.</w:t>
      </w:r>
    </w:p>
    <w:p>
      <w:r>
        <w:rPr>
          <w:color w:val="5A7D3A"/>
          <w:sz w:val="18"/>
        </w:rPr>
        <w:t>https://pubmed.ncbi.nlm.nih.gov/42711071/</w:t>
      </w:r>
    </w:p>
    <w:p>
      <w:pPr>
        <w:pStyle w:val="Heading2"/>
      </w:pPr>
      <w:r>
        <w:t>Dreifachtherapie-Persistenz bei COPD: Einmal-täglich-Regimen verbessert Therapietreue um 92,5% nach 6 Monaten</w:t>
      </w:r>
    </w:p>
    <w:p>
      <w:r>
        <w:rPr>
          <w:i/>
          <w:color w:val="666666"/>
          <w:sz w:val="18"/>
        </w:rPr>
        <w:t>Vogelmeier CF et al.  ·  Ther Adv Respir Dis  ·  08.09.2026  ·  PMID 42710849</w:t>
      </w:r>
    </w:p>
    <w:p>
      <w:r>
        <w:t>Prospektive Beobachtungsstudie zur Therapietreue und Stabilität von inhalierter Dreifachtherapie bei 1.196 COPD-Patienten aus 134 deutschen Zentren über 24 Monate.</w:t>
      </w:r>
    </w:p>
    <w:p>
      <w:r>
        <w:rPr>
          <w:b/>
        </w:rPr>
        <w:t xml:space="preserve">Ergebnis: </w:t>
      </w:r>
      <w:r>
        <w:t>Therapietreue lag bei 92,5% (6 Monate), 84,4% (12 Monate) und 38,5% (24 Monate). Bei Patienten unter Einmal-täglich-Regime (FF/UMEC/VI OD) betrug die durchschnittliche CAT-Verbesserung 4,4 Punkte; 50,1% waren Responder. Nur 10% der Patienten wechselten die Therapie über 24 Monate.</w:t>
      </w:r>
    </w:p>
    <w:p>
      <w:r>
        <w:rPr>
          <w:b/>
          <w:sz w:val="19"/>
        </w:rPr>
        <w:t xml:space="preserve">Übertragbarkeit: </w:t>
      </w:r>
      <w:r>
        <w:rPr>
          <w:sz w:val="19"/>
        </w:rPr>
        <w:t>Deutsche Real-World-Daten, direkt übertragbar auf Versorgung und Therapiestabilität im Praxisalltag.</w:t>
      </w:r>
    </w:p>
    <w:p>
      <w:r>
        <w:rPr>
          <w:color w:val="5A7D3A"/>
          <w:sz w:val="18"/>
        </w:rPr>
        <w:t>https://pubmed.ncbi.nlm.nih.gov/42710849/</w:t>
      </w:r>
    </w:p>
    <w:p>
      <w:pPr>
        <w:pStyle w:val="Heading2"/>
      </w:pPr>
      <w:r>
        <w:t>Soziale Ungleichheit verkürzt Lebenserwartung nach Diagnose chronischer Erkrankungen um bis zu 3 Jahre</w:t>
      </w:r>
    </w:p>
    <w:p>
      <w:r>
        <w:rPr>
          <w:i/>
          <w:color w:val="666666"/>
          <w:sz w:val="18"/>
        </w:rPr>
        <w:t>Pallesen AVJ et al.  ·  Eur J Public Health  ·  04.08.2026  ·  PMID 42709676</w:t>
      </w:r>
    </w:p>
    <w:p>
      <w:r>
        <w:t>Vollpopulationskohorte aus Dänemark mit Multistate-Modellen für 64 nicht-übertragbare Erkrankungen zur Analyse von Bildungs- und Einkommensungleichheiten in der Lebenserwartung nach Diagnosestellung.</w:t>
      </w:r>
    </w:p>
    <w:p>
      <w:r>
        <w:rPr>
          <w:b/>
        </w:rPr>
        <w:t xml:space="preserve">Ergebnis: </w:t>
      </w:r>
      <w:r>
        <w:t>Konsistente Bildungs- und Einkommensungleichheiten in der Lebenserwartung nach Diagnose über alle 64 Erkrankungen. Beispiel: Frau mit Zirrhose im Alter 50 Jahren: 17 Jahre Lebenserwartung bei hoher Bildung vs. 14 Jahre bei niedriger Bildung. Unterschied bei Männern: 13 vs. 10 Jahre. Unterstreicht Bedarf für Interventionen vor Erkrankungseintritt.</w:t>
      </w:r>
    </w:p>
    <w:p>
      <w:r>
        <w:rPr>
          <w:b/>
          <w:sz w:val="19"/>
        </w:rPr>
        <w:t xml:space="preserve">Übertragbarkeit: </w:t>
      </w:r>
      <w:r>
        <w:rPr>
          <w:sz w:val="19"/>
        </w:rPr>
        <w:t>Dänische Registerdaten, vergleichbar mit deutschem Versicherungssystem und Versorgungsungleichheiten.</w:t>
      </w:r>
    </w:p>
    <w:p>
      <w:r>
        <w:rPr>
          <w:color w:val="5A7D3A"/>
          <w:sz w:val="18"/>
        </w:rPr>
        <w:t>https://pubmed.ncbi.nlm.nih.gov/42709676/</w:t>
      </w:r>
    </w:p>
    <w:p>
      <w:pPr>
        <w:pStyle w:val="Heading2"/>
      </w:pPr>
      <w:r>
        <w:t>Langzeitüberlebensraten bei Langzeit-Sauerstofftherapie sind niedrig und diagnoseabhängig</w:t>
      </w:r>
    </w:p>
    <w:p>
      <w:r>
        <w:rPr>
          <w:i/>
          <w:color w:val="666666"/>
          <w:sz w:val="18"/>
        </w:rPr>
        <w:t>Staes M et al.  ·  COPD  ·  25.08.2026  ·  PMID 42708418</w:t>
      </w:r>
    </w:p>
    <w:p>
      <w:r>
        <w:t>Nationale belgische Kohorte von 4.973 Patienten, die 2017 mit Langzeit-Sauerstofftherapie (LTOT) begannen, mit 4-Jahres-Nachverfolgung und Kaplan-Meier-Analyse.</w:t>
      </w:r>
    </w:p>
    <w:p>
      <w:r>
        <w:rPr>
          <w:b/>
        </w:rPr>
        <w:t xml:space="preserve">Ergebnis: </w:t>
      </w:r>
      <w:r>
        <w:t>4-Jahres-Gesamtüberleben 22%. COPD-Patienten zeigten höhere 4-Jahres-Überlebensrate (24%) vs. restriktive Lungenerkrankungen (17%, HR 1,23, p&lt;0,005). Patienten mit interstitieller Lungenfibrose (ILD) hatten schlechtestes Überleben (13%, HR 1,98, p&lt;0,005). Palliativbetreuung sollte integral sein.</w:t>
      </w:r>
    </w:p>
    <w:p>
      <w:r>
        <w:rPr>
          <w:b/>
          <w:sz w:val="19"/>
        </w:rPr>
        <w:t xml:space="preserve">Übertragbarkeit: </w:t>
      </w:r>
      <w:r>
        <w:rPr>
          <w:sz w:val="19"/>
        </w:rPr>
        <w:t>Belgische Gesundheitsdaten, vergleichbar mit deutschem Versorgungssystem und LTOT-Indikationen.</w:t>
      </w:r>
    </w:p>
    <w:p>
      <w:r>
        <w:rPr>
          <w:color w:val="5A7D3A"/>
          <w:sz w:val="18"/>
        </w:rPr>
        <w:t>https://pubmed.ncbi.nlm.nih.gov/42708418/</w:t>
      </w:r>
    </w:p>
    <w:p>
      <w:pPr>
        <w:pStyle w:val="Heading2"/>
      </w:pPr>
      <w:r>
        <w:t>Immune-Checkpoint-Inhibitoren verursachen Pankreatitis mit Overlap zu Autoimmun-Pankreatitis</w:t>
      </w:r>
    </w:p>
    <w:p>
      <w:r>
        <w:rPr>
          <w:i/>
          <w:color w:val="666666"/>
          <w:sz w:val="18"/>
        </w:rPr>
        <w:t>Moro CF et al.  ·  United European Gastroenterol J  ·  Sept. 2026  ·  PMID 42704209</w:t>
      </w:r>
    </w:p>
    <w:p>
      <w:r>
        <w:t>Klinisch-pathologische Analyse von 5 Fällen mit Immune-Checkpoint-Inhibitor-induzierter Pankreatitis (ICIPI) mit Vergleich zu autoimmun-Pankreatitis-Mustern.</w:t>
      </w:r>
    </w:p>
    <w:p>
      <w:r>
        <w:rPr>
          <w:b/>
        </w:rPr>
        <w:t xml:space="preserve">Ergebnis: </w:t>
      </w:r>
      <w:r>
        <w:t>ICIPI trat 182-580 Tage nach ICI-Initiation auf. Alle Patienten hatten kombinierte Therapie. Serum-Lipase 4-41 µkat/L. 3 Patienten erhielten Steroide mit Remission. 2 entwickelten Pankreasatrophie/Exokrininsuffizienz. Histologischer Overlap mit Typ-2-AIP, aber ohne IgG4-Marker. Frühe Steroid-Intervention ist wichtig.</w:t>
      </w:r>
    </w:p>
    <w:p>
      <w:r>
        <w:rPr>
          <w:b/>
          <w:sz w:val="19"/>
        </w:rPr>
        <w:t xml:space="preserve">Übertragbarkeit: </w:t>
      </w:r>
      <w:r>
        <w:rPr>
          <w:sz w:val="19"/>
        </w:rPr>
        <w:t>Europäische Fallsammlung; Erkenntnisse zur Überwachung und Management bei ICI-Therapie übertragbar.</w:t>
      </w:r>
    </w:p>
    <w:p>
      <w:r>
        <w:rPr>
          <w:color w:val="5A7D3A"/>
          <w:sz w:val="18"/>
        </w:rPr>
        <w:t>https://pubmed.ncbi.nlm.nih.gov/42704209/</w:t>
      </w:r>
    </w:p>
    <w:p>
      <w:pPr>
        <w:pStyle w:val="Heading2"/>
      </w:pPr>
      <w:r>
        <w:t>Föderierte Datenanalyse im Europäischen Gesundheitsdatenraum verbessert chronische-Krankheits-Überwachung</w:t>
      </w:r>
    </w:p>
    <w:p>
      <w:r>
        <w:rPr>
          <w:i/>
          <w:color w:val="666666"/>
          <w:sz w:val="18"/>
        </w:rPr>
        <w:t>Carinci F et al.  ·  Front Public Health  ·  21.08.2026  ·  PMID 42698935</w:t>
      </w:r>
    </w:p>
    <w:p>
      <w:r>
        <w:t>Scoping Review zu föderativen Analysemethoden für Überwachung nicht-übertragbarer Erkrankungen im European Health Data Space (EHDS), mit konzeptuellem Rahmen für verteilte statistische Methoden.</w:t>
      </w:r>
    </w:p>
    <w:p>
      <w:r>
        <w:rPr>
          <w:b/>
        </w:rPr>
        <w:t xml:space="preserve">Ergebnis: </w:t>
      </w:r>
      <w:r>
        <w:t>104 relevante Studien identifiziert; 3 Domänen: (1) verteilte Regression, (2) föderierte Infrastrukturen, (3) privacy-preserving Epidemiologie. Herausforderungen: Longitudinale und Survival-Modelle methodisch komplex. Modularer Ansatz für dynamische, interoperable Tools im EHDS erforderlich. Erfolgreiche Implementation braucht Integration von Statistik, Recht, IT und Governance.</w:t>
      </w:r>
    </w:p>
    <w:p>
      <w:r>
        <w:rPr>
          <w:b/>
          <w:sz w:val="19"/>
        </w:rPr>
        <w:t xml:space="preserve">Übertragbarkeit: </w:t>
      </w:r>
      <w:r>
        <w:rPr>
          <w:sz w:val="19"/>
        </w:rPr>
        <w:t>EU-Policy-Initiative, direkt relevant für deutsches eHealth-Recht und föderierte Datennutzung.</w:t>
      </w:r>
    </w:p>
    <w:p>
      <w:r>
        <w:rPr>
          <w:color w:val="5A7D3A"/>
          <w:sz w:val="18"/>
        </w:rPr>
        <w:t>https://pubmed.ncbi.nlm.nih.gov/42698935/</w:t>
      </w:r>
    </w:p>
    <w:p>
      <w:pPr>
        <w:pStyle w:val="Heading1"/>
      </w:pPr>
      <w:r>
        <w:t>Aufgenommen am 08.09.2026</w:t>
      </w:r>
    </w:p>
    <w:p>
      <w:pPr>
        <w:pStyle w:val="Heading2"/>
      </w:pPr>
      <w:r>
        <w:t>Geographische Ungleichheit in Nierenersatztherapie: Dialyse-Deserts in Philippinen</w:t>
      </w:r>
    </w:p>
    <w:p>
      <w:r>
        <w:rPr>
          <w:i/>
          <w:color w:val="666666"/>
          <w:sz w:val="18"/>
        </w:rPr>
        <w:t>Fajardo MS et al.  ·  Glob Health Action  ·  07.09.2026  ·  PMID 42703736</w:t>
      </w:r>
    </w:p>
    <w:p>
      <w:r>
        <w:t>Geographische Modellierung untersuchte, ob die Erweiterung von Peritonealdialyse auf bestehende Hämodialysezentren die Versorgungsabdeckung in unterversorgten ländlichen Regionen verbessern würde.</w:t>
      </w:r>
    </w:p>
    <w:p>
      <w:r>
        <w:rPr>
          <w:b/>
        </w:rPr>
        <w:t xml:space="preserve">Ergebnis: </w:t>
      </w:r>
      <w:r>
        <w:t>2023 lag die Versorgungsabdeckung innerhalb einer Stunde zu Hämodialysezentren bei nur 67,9 %, zu Peritonealdialyse bei 51,3 %; in der Region Mimaropa nur 36 %. Vollständige Integration von Peritonealdialyse würde zusätzlich 11 Millionen Menschen erreichen, besonders in Regionen ohne duale Behandlungsoptionen.</w:t>
      </w:r>
    </w:p>
    <w:p>
      <w:r>
        <w:rPr>
          <w:b/>
          <w:sz w:val="19"/>
        </w:rPr>
        <w:t xml:space="preserve">Übertragbarkeit: </w:t>
      </w:r>
      <w:r>
        <w:rPr>
          <w:sz w:val="19"/>
        </w:rPr>
        <w:t>Philippinen, strukturelle Ungleichheit; Befund zur Allokationsgerechtigkeit übertragbar auf Regionen mit geografischen Versorgungslücken.</w:t>
      </w:r>
    </w:p>
    <w:p>
      <w:r>
        <w:rPr>
          <w:color w:val="5A7D3A"/>
          <w:sz w:val="18"/>
        </w:rPr>
        <w:t>https://pubmed.ncbi.nlm.nih.gov/42703736/</w:t>
      </w:r>
    </w:p>
    <w:p>
      <w:pPr>
        <w:pStyle w:val="Heading2"/>
      </w:pPr>
      <w:r>
        <w:t>Therapietreue in stabiler COPD-Versorgung: 76,5 % Adhärenz mit besseren Outcomes</w:t>
      </w:r>
    </w:p>
    <w:p>
      <w:r>
        <w:rPr>
          <w:i/>
          <w:color w:val="666666"/>
          <w:sz w:val="18"/>
        </w:rPr>
        <w:t>Dang KD et al.  ·  Pulm Med  ·  2026  ·  PMID 42703034</w:t>
      </w:r>
    </w:p>
    <w:p>
      <w:r>
        <w:t>Querschnittsstudie in Vietnam untersuchte die Medikamentenadhärenz (MMAS-8) und Behandlungseffektivität bei stabiler COPD über 3 Monate Nachverfolgung.</w:t>
      </w:r>
    </w:p>
    <w:p>
      <w:r>
        <w:rPr>
          <w:b/>
        </w:rPr>
        <w:t xml:space="preserve">Ergebnis: </w:t>
      </w:r>
      <w:r>
        <w:t>Nach 3 Monaten lag die Therapietreue bei 76,5 %. Therapieregimen signifikant mit Adhärenz verbunden (p&lt;0,001): Kombinationen mit LABA/ICS+LABA+SABA zeigten höhere Adhärenz. Gesamtverbesserungsrate der Behandlungseffektivität: 70,3 % (Exazerbation/Krankenhausaufenthalt 23,0 %, mMRC 32,3 %, CAT 66,0 %). Therapietreue und Nichtrauchen waren stärkste Vorhersagefaktoren für Effektivität (OR über Spanne erheblich).</w:t>
      </w:r>
    </w:p>
    <w:p>
      <w:r>
        <w:rPr>
          <w:b/>
          <w:sz w:val="19"/>
        </w:rPr>
        <w:t xml:space="preserve">Übertragbarkeit: </w:t>
      </w:r>
      <w:r>
        <w:rPr>
          <w:sz w:val="19"/>
        </w:rPr>
        <w:t>Vietnam, Primärversorgung, Schwellenland; Therapietreue-Befunde übertragbar auf Praxen.</w:t>
      </w:r>
    </w:p>
    <w:p>
      <w:r>
        <w:rPr>
          <w:color w:val="5A7D3A"/>
          <w:sz w:val="18"/>
        </w:rPr>
        <w:t>https://pubmed.ncbi.nlm.nih.gov/42703034/</w:t>
      </w:r>
    </w:p>
    <w:p>
      <w:pPr>
        <w:pStyle w:val="Heading2"/>
      </w:pPr>
      <w:r>
        <w:t>Standardisierte Chronikerversorgung senkt Mehrfacherkrankungen in China um 9–14 %</w:t>
      </w:r>
    </w:p>
    <w:p>
      <w:r>
        <w:rPr>
          <w:i/>
          <w:color w:val="666666"/>
          <w:sz w:val="18"/>
        </w:rPr>
        <w:t>Liu L et al.  ·  Nat Commun  ·  07.08.2026  ·  PMID 42702613</w:t>
      </w:r>
    </w:p>
    <w:p>
      <w:r>
        <w:t>Große Kohortenstudie untersuchte, ob die Teilnahme an einem standardisierten Disease-Management-Programm für Hypertonie und Diabetes die Wahrscheinlichkeit weiterer chronischer Erkrankungen reduziert.</w:t>
      </w:r>
    </w:p>
    <w:p>
      <w:r>
        <w:rPr>
          <w:b/>
        </w:rPr>
        <w:t xml:space="preserve">Ergebnis: </w:t>
      </w:r>
      <w:r>
        <w:t>Bei 701.759 Patienten mit neu diagnostizierter Hypertonie und 320.179 mit Diabetes reduzierte die Programmanmeldung das Gesamtrisiko für Mehrfacherkrankungen um 9 % bzw. 14 % (instrumentelle Variablenschätzung). Teilnehmer zeigten niedrigere Risiken für über 20 chronische Erkrankungen. Interventionsspezifische Analysen: Alkoholverzicht, Medikamentenadhärenz und psychosoziale Unterstützung reduzierten das Risiko multiple chronischer Erkrankungen bei beiden Patientengruppen.</w:t>
      </w:r>
    </w:p>
    <w:p>
      <w:r>
        <w:rPr>
          <w:b/>
          <w:sz w:val="19"/>
        </w:rPr>
        <w:t xml:space="preserve">Übertragbarkeit: </w:t>
      </w:r>
      <w:r>
        <w:rPr>
          <w:sz w:val="19"/>
        </w:rPr>
        <w:t>China, 2017–2023, großes elektronisches Gesundheitsregister, Gesundheitssystem mit Koordination ähnlich wie deutsches DMP.</w:t>
      </w:r>
    </w:p>
    <w:p>
      <w:r>
        <w:rPr>
          <w:color w:val="5A7D3A"/>
          <w:sz w:val="18"/>
        </w:rPr>
        <w:t>https://pubmed.ncbi.nlm.nih.gov/42702613/</w:t>
      </w:r>
    </w:p>
    <w:p>
      <w:pPr>
        <w:pStyle w:val="Heading2"/>
      </w:pPr>
      <w:r>
        <w:t>Screening durch Routineuntersuchungen senkt Mehrfacherkrankungen bei niedriger initialer Last</w:t>
      </w:r>
    </w:p>
    <w:p>
      <w:r>
        <w:rPr>
          <w:i/>
          <w:color w:val="666666"/>
          <w:sz w:val="18"/>
        </w:rPr>
        <w:t>Ao Y et al.  ·  Glob Health Res Policy  ·  29.06.2026  ·  PMID 42699226</w:t>
      </w:r>
    </w:p>
    <w:p>
      <w:r>
        <w:t>Longitudinale Kohortenstudie (CHARLS 2013–2020) prüfte, ob kontinuierliche Teilnahme an Routineuntersuchungen lange Trajektorien von Mehrfacherkrankungen bei Erwachsenen ≥45 Jahren beeinflusst.</w:t>
      </w:r>
    </w:p>
    <w:p>
      <w:r>
        <w:rPr>
          <w:b/>
        </w:rPr>
        <w:t xml:space="preserve">Ergebnis: </w:t>
      </w:r>
      <w:r>
        <w:t>Von 12.510 Teilnehmern wurden 6 Trajektorie-Klassen identifiziert. Unadjustiert: Kontinuierliche Screening-Teilnehmende hatten höhere Wahrscheinlichkeit für ungünstige Trajektorien (RRR 2,249 bzw. 7,124). Nach Adjustierung für Baseline-Last: Teilnehmende mit niedriger initialer Last hatten niedrigere Wahrscheinlichkeit ungünstiger Trajektorien (RRR 0,456; 95 % CI 0,278–0,748; p&lt;0,01) vs. Nicht-Teilnehmende. Effekt moderiert durch Alter und Baseline-Krankheitslast.</w:t>
      </w:r>
    </w:p>
    <w:p>
      <w:r>
        <w:rPr>
          <w:b/>
          <w:sz w:val="19"/>
        </w:rPr>
        <w:t xml:space="preserve">Übertragbarkeit: </w:t>
      </w:r>
      <w:r>
        <w:rPr>
          <w:sz w:val="19"/>
        </w:rPr>
        <w:t>China, nationale Längsschnittstudie, kostenlose Screenings, vergleichbar mit DMP-Modellen.</w:t>
      </w:r>
    </w:p>
    <w:p>
      <w:r>
        <w:rPr>
          <w:color w:val="5A7D3A"/>
          <w:sz w:val="18"/>
        </w:rPr>
        <w:t>https://pubmed.ncbi.nlm.nih.gov/42699226/</w:t>
      </w:r>
    </w:p>
    <w:p>
      <w:pPr>
        <w:pStyle w:val="Heading2"/>
      </w:pPr>
      <w:r>
        <w:t>Neuer Risikoindex vorhersagt Mehrfacherkrankungen kardio-metabol. Systems</w:t>
      </w:r>
    </w:p>
    <w:p>
      <w:r>
        <w:rPr>
          <w:i/>
          <w:color w:val="666666"/>
          <w:sz w:val="18"/>
        </w:rPr>
        <w:t>Kunutsor SK et al.  ·  Prim Care Diabetes  ·  25.08.2026  ·  PMID 42642323</w:t>
      </w:r>
    </w:p>
    <w:p>
      <w:r>
        <w:t>Studie prüfte, ob ein neuer Blutfettindex (AIP, TyG-Index) das Risiko für Mehrfacherkrankungen (Hypertonie, Herzerkrankung, Diabetes) besser vorhersagt als konventionelle Lipidmarker.</w:t>
      </w:r>
    </w:p>
    <w:p>
      <w:r>
        <w:rPr>
          <w:b/>
        </w:rPr>
        <w:t xml:space="preserve">Ergebnis: </w:t>
      </w:r>
      <w:r>
        <w:t>Beide neuen Indizes zeigten positive Assoziationen mit kardiometabolischen Mehrfacherkrankungen (AIP: OR 1,41 pro SD, TyG: OR 1,51). Die Vorhersageverbesserung durch Einschluss dieser Indizes war bescheiden (Diskriminierungsverbesserung 0,029–0,038). Dies deutet auf klinische Relevanz, aber begrenzte zusätzliche Vorhersagekraft hin.</w:t>
      </w:r>
    </w:p>
    <w:p>
      <w:r>
        <w:rPr>
          <w:b/>
          <w:sz w:val="19"/>
        </w:rPr>
        <w:t xml:space="preserve">Übertragbarkeit: </w:t>
      </w:r>
      <w:r>
        <w:rPr>
          <w:sz w:val="19"/>
        </w:rPr>
        <w:t>England, 12–15 Jahre Nachbeobachtung, öffentliches Gesundheitssystem, vergleichbar.</w:t>
      </w:r>
    </w:p>
    <w:p>
      <w:r>
        <w:rPr>
          <w:color w:val="5A7D3A"/>
          <w:sz w:val="18"/>
        </w:rPr>
        <w:t>https://pubmed.ncbi.nlm.nih.gov/42642323/</w:t>
      </w:r>
    </w:p>
    <w:p>
      <w:pPr>
        <w:pStyle w:val="Heading2"/>
      </w:pPr>
      <w:r>
        <w:t>Leberstoffwechsel und frühe Nierenschädigung: Marker für kardio-renale Prävention</w:t>
      </w:r>
    </w:p>
    <w:p>
      <w:r>
        <w:rPr>
          <w:i/>
          <w:color w:val="666666"/>
          <w:sz w:val="18"/>
        </w:rPr>
        <w:t>Mungamba MM et al.  ·  J Glob Health  ·  24.07.2026  ·  PMID 42495747</w:t>
      </w:r>
    </w:p>
    <w:p>
      <w:r>
        <w:t>Prospektive Kohortenstudie prüfte, ob Leberfunktionsmarker (GGT, ALT, AST, Fatty-Liver-Index) mit dem Auftreten chronischer Nierenerkrankung über 6 Jahre korrelieren.</w:t>
      </w:r>
    </w:p>
    <w:p>
      <w:r>
        <w:rPr>
          <w:b/>
        </w:rPr>
        <w:t xml:space="preserve">Ergebnis: </w:t>
      </w:r>
      <w:r>
        <w:t>Von 1.832 Patienten ohne CKD bei Baseline entwickelten 11 % CKD, 9,7 % Albuminurie, 2,3 % eGFR-Abfall. Höhere GGT (aIRR 1,12; 95 % CI 1,01–1,23), ALT (aIRR 1,27; 95 % CI 1,04–1,50) und AST (aIRR 1,20; 95 % CI 1,04–1,34) assoziiert mit Inzidenz-CKD; primär über Albuminurie-Pfad. Erhöhter FLI mit CKD (aIRR 1,92; 95 % CI 1,14–3,18) und Albuminurie (aIRR 2,15; 95 % CI 1,24–3,68) verbunden. Stützt Leber-Nieren-Achse als potenziellen Präventionsziel.</w:t>
      </w:r>
    </w:p>
    <w:p>
      <w:r>
        <w:rPr>
          <w:b/>
          <w:sz w:val="19"/>
        </w:rPr>
        <w:t xml:space="preserve">Übertragbarkeit: </w:t>
      </w:r>
      <w:r>
        <w:rPr>
          <w:sz w:val="19"/>
        </w:rPr>
        <w:t>Ghana/Niederlande, transkontinentale Kohorte mit Mehrfacherkrankungs-Fokus; Befund zur kardiometabolischen Prävention übertragbar.</w:t>
      </w:r>
    </w:p>
    <w:p>
      <w:r>
        <w:rPr>
          <w:color w:val="5A7D3A"/>
          <w:sz w:val="18"/>
        </w:rPr>
        <w:t>https://pubmed.ncbi.nlm.nih.gov/42495747/</w:t>
      </w:r>
    </w:p>
    <w:p>
      <w:pPr>
        <w:pStyle w:val="Heading1"/>
      </w:pPr>
      <w:r>
        <w:t>Aufgenommen am 07.09.2026</w:t>
      </w:r>
    </w:p>
    <w:p>
      <w:pPr>
        <w:pStyle w:val="Heading2"/>
      </w:pPr>
      <w:r>
        <w:t>Mehrfacherkrankung reduziert Ansprechen auf Urticaria-Therapie um 50%</w:t>
      </w:r>
    </w:p>
    <w:p>
      <w:r>
        <w:rPr>
          <w:i/>
          <w:color w:val="666666"/>
          <w:sz w:val="18"/>
        </w:rPr>
        <w:t>Lapi F et al.  ·  Eur J Dermatol  ·  01.08.2026  ·  PMID 42702025</w:t>
      </w:r>
    </w:p>
    <w:p>
      <w:r>
        <w:t>Italienische Hausarztdaten von 7018 Patienten mit chronischer spontaner Urtikaria zeigten, welche Faktoren zum Therapieversagen führen.</w:t>
      </w:r>
    </w:p>
    <w:p>
      <w:r>
        <w:rPr>
          <w:b/>
        </w:rPr>
        <w:t xml:space="preserve">Ergebnis: </w:t>
      </w:r>
      <w:r>
        <w:t>50% der Patienten sprachen nicht auf H1-Antihistamine und/oder Steroide an. Risikofaktoren für Therapieversagen: Alter über 55 Jahre, Autoimmunthyreoiditis, Asthma/COPD, Allergien und Immunsuppressiva (HR 1,52). Patienten mit Therapieversagen wurden 52% häufiger an Fachärzte überwiesen.</w:t>
      </w:r>
    </w:p>
    <w:p>
      <w:r>
        <w:rPr>
          <w:b/>
          <w:sz w:val="19"/>
        </w:rPr>
        <w:t xml:space="preserve">Übertragbarkeit: </w:t>
      </w:r>
      <w:r>
        <w:rPr>
          <w:sz w:val="19"/>
        </w:rPr>
        <w:t>Italien, vergleichbare Primärversorgungsstruktur, großes epidemiologisches Register</w:t>
      </w:r>
    </w:p>
    <w:p>
      <w:r>
        <w:rPr>
          <w:color w:val="5A7D3A"/>
          <w:sz w:val="18"/>
        </w:rPr>
        <w:t>https://pubmed.ncbi.nlm.nih.gov/42702025/</w:t>
      </w:r>
    </w:p>
    <w:p>
      <w:pPr>
        <w:pStyle w:val="Heading2"/>
      </w:pPr>
      <w:r>
        <w:t>Web-gestützte Bewegungsintervention erhöht Aktivität bei COPD um 1410 Schritte pro Tag</w:t>
      </w:r>
    </w:p>
    <w:p>
      <w:r>
        <w:rPr>
          <w:i/>
          <w:color w:val="666666"/>
          <w:sz w:val="18"/>
        </w:rPr>
        <w:t>Bamonti PM et al.  ·  Int J Chron Obstruct Pulmon Dis  ·  01.09.2026  ·  PMID 42701779</w:t>
      </w:r>
    </w:p>
    <w:p>
      <w:r>
        <w:t>Randomisierte US-Studie mit 109 COPD-Patienten testete webgestützte Pedometer-Intervention zur Steigerung von Menge und Intensität physischer Aktivität.</w:t>
      </w:r>
    </w:p>
    <w:p>
      <w:r>
        <w:rPr>
          <w:b/>
        </w:rPr>
        <w:t xml:space="preserve">Ergebnis: </w:t>
      </w:r>
      <w:r>
        <w:t>Interventionsgruppe erhöhte durchschnittliche tägliche Schritte um 1410 mehr als Kontrolle (p=0,005). Übergänge von unteraktiv zu aktiv: 41% in der Interventionsgruppe (p=0,001 within-group). Einhaltung war über 12 Wochen gut, mit positiven Bewertungen für Vertrauen und Vergnügen.</w:t>
      </w:r>
    </w:p>
    <w:p>
      <w:r>
        <w:rPr>
          <w:b/>
          <w:sz w:val="19"/>
        </w:rPr>
        <w:t xml:space="preserve">Übertragbarkeit: </w:t>
      </w:r>
      <w:r>
        <w:rPr>
          <w:sz w:val="19"/>
        </w:rPr>
        <w:t>USA, Sicherheitsaspekte und Effektivität übertragbar, aber Umsetzung in Deutschland anders</w:t>
      </w:r>
    </w:p>
    <w:p>
      <w:r>
        <w:rPr>
          <w:color w:val="5A7D3A"/>
          <w:sz w:val="18"/>
        </w:rPr>
        <w:t>https://pubmed.ncbi.nlm.nih.gov/42701779/</w:t>
      </w:r>
    </w:p>
    <w:p>
      <w:pPr>
        <w:pStyle w:val="Heading2"/>
      </w:pPr>
      <w:r>
        <w:t>Zentrale Adipositas verdoppelt Mortalitätsrisiko bei chronischer Nierenerkrankung</w:t>
      </w:r>
    </w:p>
    <w:p>
      <w:r>
        <w:rPr>
          <w:i/>
          <w:color w:val="666666"/>
          <w:sz w:val="18"/>
        </w:rPr>
        <w:t>Zhou H et al.  ·  Medicine (Baltimore)  ·  04.09.2026  ·  PMID 42700084</w:t>
      </w:r>
    </w:p>
    <w:p>
      <w:r>
        <w:t>US-NHANES-Kohortenstudie mit 5582 CKD-Patienten (1999-2018) untersuchte, ob das weight-adjusted waist index (WWI) mit Gesamt- und kardiovaskulärer Mortalität assoziiert ist.</w:t>
      </w:r>
    </w:p>
    <w:p>
      <w:r>
        <w:rPr>
          <w:b/>
        </w:rPr>
        <w:t xml:space="preserve">Ergebnis: </w:t>
      </w:r>
      <w:r>
        <w:t>Erhöhtes WWI assoziiert mit höherem Gesamtmortalitätsrisiko (aHR 1,17, 95% CI 1,09-1,26, p&lt;0,001) und kardiovaskulärem Mortalitätsrisiko (aHR 1,24, 95% CI 1,09-1,41, p=0,001). Lineare positive Beziehung zu beiden Outcomes. Neutrophilen-Lymphozyten-Verhältnis vermittelte 6,66% des Effekts auf Gesamtmortalität.</w:t>
      </w:r>
    </w:p>
    <w:p>
      <w:r>
        <w:rPr>
          <w:b/>
          <w:sz w:val="19"/>
        </w:rPr>
        <w:t xml:space="preserve">Übertragbarkeit: </w:t>
      </w:r>
      <w:r>
        <w:rPr>
          <w:sz w:val="19"/>
        </w:rPr>
        <w:t>USA-Daten, aber zentrale Adipositas als Risikofaktor in allen Systemen relevant</w:t>
      </w:r>
    </w:p>
    <w:p>
      <w:r>
        <w:rPr>
          <w:color w:val="5A7D3A"/>
          <w:sz w:val="18"/>
        </w:rPr>
        <w:t>https://pubmed.ncbi.nlm.nih.gov/42700084/</w:t>
      </w:r>
    </w:p>
    <w:p>
      <w:pPr>
        <w:pStyle w:val="Heading2"/>
      </w:pPr>
      <w:r>
        <w:t>Minimalausstattungs-Zirkeltraining erreicht 72% trainings-wirksamer Intensität bei Atemwegserkrankungen</w:t>
      </w:r>
    </w:p>
    <w:p>
      <w:r>
        <w:rPr>
          <w:i/>
          <w:color w:val="666666"/>
          <w:sz w:val="18"/>
        </w:rPr>
        <w:t>Mellerick CR et al.  ·  Chron Respir Dis  ·  04.09.2026  ·  PMID 42696318</w:t>
      </w:r>
    </w:p>
    <w:p>
      <w:r>
        <w:t>Australische Studie mit 18 Patienten mit chronischen Atemwegserkrankungen evaluierte, ob Zirkeltraining ohne großes Equipment erforderliche Trainingsintensität (≥60% VO2peak) erreicht.</w:t>
      </w:r>
    </w:p>
    <w:p>
      <w:r>
        <w:rPr>
          <w:b/>
        </w:rPr>
        <w:t xml:space="preserve">Ergebnis: </w:t>
      </w:r>
      <w:r>
        <w:t>Durchschnittlich 72% (21%) der Sitzung erreichte ≥60% VO2peak; 40 [32-47] Minuten über diesem Schwellwert. 83% (15/18) erreichten Zielintensität für ≥30 Minuten. Teilnehmer berichteten hohe Bewertungen für Vertrauen, Komfort und Vergnügen.</w:t>
      </w:r>
    </w:p>
    <w:p>
      <w:r>
        <w:rPr>
          <w:b/>
          <w:sz w:val="19"/>
        </w:rPr>
        <w:t xml:space="preserve">Übertragbarkeit: </w:t>
      </w:r>
      <w:r>
        <w:rPr>
          <w:sz w:val="19"/>
        </w:rPr>
        <w:t>Australien, vergleichbare Rehabilitationsstruktur, aber Übertragbarkeit auf DMP-System zu prüfen</w:t>
      </w:r>
    </w:p>
    <w:p>
      <w:r>
        <w:rPr>
          <w:color w:val="5A7D3A"/>
          <w:sz w:val="18"/>
        </w:rPr>
        <w:t>https://pubmed.ncbi.nlm.nih.gov/42696318/</w:t>
      </w:r>
    </w:p>
    <w:p>
      <w:pPr>
        <w:pStyle w:val="Heading2"/>
      </w:pPr>
      <w:r>
        <w:t>Soziale Isolation erhöht Sedentarität bei schwerem COPD um 1,5 Stunden täglich</w:t>
      </w:r>
    </w:p>
    <w:p>
      <w:r>
        <w:rPr>
          <w:i/>
          <w:color w:val="666666"/>
          <w:sz w:val="18"/>
        </w:rPr>
        <w:t>Harding S et al.  ·  COPD  ·  02.08.2026  ·  PMID 42695939</w:t>
      </w:r>
    </w:p>
    <w:p>
      <w:r>
        <w:t>UK-Biobank-Studie mit 1558 COPD-Patienten untersuchte, wie Deprivation und Isolation mit Bewegungsmangel assoziiert sind.</w:t>
      </w:r>
    </w:p>
    <w:p>
      <w:r>
        <w:rPr>
          <w:b/>
        </w:rPr>
        <w:t xml:space="preserve">Ergebnis: </w:t>
      </w:r>
      <w:r>
        <w:t>Sedentarität stieg mit Schweregrad (GOLD 4 vs. GOLD 1: +19% pro Tag). Soziale Isolation führte zu zusätzlich 1,5 h Sedentarität täglich in schwererem COPD (GOLD 3-4, p=0,004). Deprivation wirkte stärker bei milder Erkrankung.</w:t>
      </w:r>
    </w:p>
    <w:p>
      <w:r>
        <w:rPr>
          <w:b/>
          <w:sz w:val="19"/>
        </w:rPr>
        <w:t xml:space="preserve">Übertragbarkeit: </w:t>
      </w:r>
      <w:r>
        <w:rPr>
          <w:sz w:val="19"/>
        </w:rPr>
        <w:t>Großbritannien, vergleichbares Versicherungssystem und epidemiologische Datenqualität</w:t>
      </w:r>
    </w:p>
    <w:p>
      <w:r>
        <w:rPr>
          <w:color w:val="5A7D3A"/>
          <w:sz w:val="18"/>
        </w:rPr>
        <w:t>https://pubmed.ncbi.nlm.nih.gov/42695939/</w:t>
      </w:r>
    </w:p>
    <w:p>
      <w:pPr>
        <w:pStyle w:val="Heading2"/>
      </w:pPr>
      <w:r>
        <w:t>Chronische Nierenschädigung bei 42% der Kinder nach Ifosfamid-Chemotherapie</w:t>
      </w:r>
    </w:p>
    <w:p>
      <w:r>
        <w:rPr>
          <w:i/>
          <w:color w:val="666666"/>
          <w:sz w:val="18"/>
        </w:rPr>
        <w:t>Pitlo L et al.  ·  Cancer Med  ·  Sept. 2026  ·  PMID 42670233</w:t>
      </w:r>
    </w:p>
    <w:p>
      <w:r>
        <w:t>Niederländische Kohorte von 292 Kindern untersuchte Häufigkeit und Determinanten chronischer Nierenerkrankung in den ersten 5 Jahren nach Ifosfamid-Chemotherapie.</w:t>
      </w:r>
    </w:p>
    <w:p>
      <w:r>
        <w:rPr>
          <w:b/>
        </w:rPr>
        <w:t xml:space="preserve">Ergebnis: </w:t>
      </w:r>
      <w:r>
        <w:t>Prävalenz chronischer Nierenschädigung: 42,1% (123/292 Patienten); 29 Patienten mit Risiko für Nierenversagen (eGFR &lt;60). Risikofaktoren: Ifosfamid-Dosis 30-59,9 g/m² (HR 1,95) oder &gt;60 g/m² (HR 4,09), Alter bei Diagnose (HR 1,12 pro Jahr), ≥2 akute Nierenversagen während Therapie (HR 3,81).</w:t>
      </w:r>
    </w:p>
    <w:p>
      <w:r>
        <w:rPr>
          <w:b/>
          <w:sz w:val="19"/>
        </w:rPr>
        <w:t xml:space="preserve">Übertragbarkeit: </w:t>
      </w:r>
      <w:r>
        <w:rPr>
          <w:sz w:val="19"/>
        </w:rPr>
        <w:t>Niederlande, vergleichbares Gesundheitssystem und Dokumentationsstandards</w:t>
      </w:r>
    </w:p>
    <w:p>
      <w:r>
        <w:rPr>
          <w:color w:val="5A7D3A"/>
          <w:sz w:val="18"/>
        </w:rPr>
        <w:t>https://pubmed.ncbi.nlm.nih.gov/42670233/</w:t>
      </w:r>
    </w:p>
    <w:p>
      <w:pPr>
        <w:pStyle w:val="Heading1"/>
      </w:pPr>
      <w:r>
        <w:t>Aufgenommen am 06.09.2026</w:t>
      </w:r>
    </w:p>
    <w:p>
      <w:pPr>
        <w:pStyle w:val="Heading2"/>
      </w:pPr>
      <w:r>
        <w:t>Probiotikum Lactobacillus plantarum stabilisiert Nierenfunktion bei CKD Stadium 3-4</w:t>
      </w:r>
    </w:p>
    <w:p>
      <w:r>
        <w:rPr>
          <w:i/>
          <w:color w:val="666666"/>
          <w:sz w:val="18"/>
        </w:rPr>
        <w:t>Saleh SE et al.  ·  Sci Rep  ·  04.09.2026  ·  PMID 42697907</w:t>
      </w:r>
    </w:p>
    <w:p>
      <w:r>
        <w:t>Doppelblinde, randomisierte, placebokontrollierte Studie an 72 Patienten mit CKD Stadium 3-4 (keine Hämodialyse) über 6 Monate: Lactobacillus plantarum 10¹⁰ CFU täglich versus Placebo, primärer Endpunkt Änderung der eGFR.</w:t>
      </w:r>
    </w:p>
    <w:p>
      <w:r>
        <w:rPr>
          <w:b/>
        </w:rPr>
        <w:t xml:space="preserve">Ergebnis: </w:t>
      </w:r>
      <w:r>
        <w:t>Probiotika-Gruppe zeigte signifikanten eGFR-Anstieg, Placebo-Gruppe Rückgang; 0 Probiotika-Patienten versus 8,6% Placebo zeigten CKD-Progression. Effekt war unabhängig von Diabetesstatus und CKD-Stadium. Kein signifikanter Unterschied in Indoxyl-Sulfat-Spiegeln zwischen den Gruppen.</w:t>
      </w:r>
    </w:p>
    <w:p>
      <w:r>
        <w:rPr>
          <w:b/>
          <w:sz w:val="19"/>
        </w:rPr>
        <w:t xml:space="preserve">Übertragbarkeit: </w:t>
      </w:r>
      <w:r>
        <w:rPr>
          <w:sz w:val="19"/>
        </w:rPr>
        <w:t>Ägyptisches Zentrum, Mechanismus unabhängig von Region, weitere Validierung nötig</w:t>
      </w:r>
    </w:p>
    <w:p>
      <w:r>
        <w:rPr>
          <w:color w:val="5A7D3A"/>
          <w:sz w:val="18"/>
        </w:rPr>
        <w:t>https://pubmed.ncbi.nlm.nih.gov/42697907/</w:t>
      </w:r>
    </w:p>
    <w:p>
      <w:pPr>
        <w:pStyle w:val="Heading2"/>
      </w:pPr>
      <w:r>
        <w:t>Antikoagulation bei Vorhofflimmern mit CKD Stadium 4-5: Apixaban senkt Schlaganfälle</w:t>
      </w:r>
    </w:p>
    <w:p>
      <w:r>
        <w:rPr>
          <w:i/>
          <w:color w:val="666666"/>
          <w:sz w:val="18"/>
        </w:rPr>
        <w:t>Chen Q et al.  ·  JAMA Netw Open  ·  01.09.2026  ·  PMID 42696280</w:t>
      </w:r>
    </w:p>
    <w:p>
      <w:r>
        <w:t>Retrospektive Kohortenstudie mit Zieltriallemulation an 42.052 Medicare- und Optum-Versicherten mit Vorhofflimmern und CKD Stadium 4-5 ohne Dialyse (Jan 2013–Feb 2025), Vergleich von Apixaban, Warfarin und Keine Antikoagulation.</w:t>
      </w:r>
    </w:p>
    <w:p>
      <w:r>
        <w:rPr>
          <w:b/>
        </w:rPr>
        <w:t xml:space="preserve">Ergebnis: </w:t>
      </w:r>
      <w:r>
        <w:t>Apixaban reduzierte Schlaganfallrate im Vergleich zu Kein-Antikoagulation (HR 0,46; 95%-KI 0,32–0,66), erhöhte aber Blutungsrate (HR 1,32; 95%-KI 1,11–1,58). Warfarin hatte höhere Blutungs- und Kompositrisiken. Apixaban versus Warfarin: HR 0,55 für schwere Blutungen (KI 0,46–0,65), HR 0,50 für Schlaganfall (KI 0,33–0,78).</w:t>
      </w:r>
    </w:p>
    <w:p>
      <w:r>
        <w:rPr>
          <w:b/>
          <w:sz w:val="19"/>
        </w:rPr>
        <w:t xml:space="preserve">Übertragbarkeit: </w:t>
      </w:r>
      <w:r>
        <w:rPr>
          <w:sz w:val="19"/>
        </w:rPr>
        <w:t>USA-Versichertendaten, Wirkmechanismus unabhängig von Gesundheitssystem übertragbar</w:t>
      </w:r>
    </w:p>
    <w:p>
      <w:r>
        <w:rPr>
          <w:color w:val="5A7D3A"/>
          <w:sz w:val="18"/>
        </w:rPr>
        <w:t>https://pubmed.ncbi.nlm.nih.gov/42696280/</w:t>
      </w:r>
    </w:p>
    <w:p>
      <w:pPr>
        <w:pStyle w:val="Heading2"/>
      </w:pPr>
      <w:r>
        <w:t>Nierenfunktion und Urämietoxine korrelieren mit kognitiven Defiziten bei CKD</w:t>
      </w:r>
    </w:p>
    <w:p>
      <w:r>
        <w:rPr>
          <w:i/>
          <w:color w:val="666666"/>
          <w:sz w:val="18"/>
        </w:rPr>
        <w:t>Cheng TW et al.  ·  Int J Med Sci  ·  30.07.2026  ·  PMID 42694884</w:t>
      </w:r>
    </w:p>
    <w:p>
      <w:r>
        <w:t>Pilot-Beobachtungsstudie an 12 Patienten mit CKD Stadium 3-5 und früher kognitiver Einschränkung: Messung von Serumindoxyl-Sulfat, Serum-p-Kresyl-Sulfat, Brain-MRI und kognitiver Funktion per CANTAB.</w:t>
      </w:r>
    </w:p>
    <w:p>
      <w:r>
        <w:rPr>
          <w:b/>
        </w:rPr>
        <w:t xml:space="preserve">Ergebnis: </w:t>
      </w:r>
      <w:r>
        <w:t>Höhere eGFR korrelierte mit besserer räumlicher Arbeitsgedächtnisleistung (r = 0,695, p = 0,012). Indoxyl-Sulfat und p-Kresyl-Sulfat zeigten inverse Korrelation mit eGFR (r = -0,301 bis -0,461), aber keine klare Assoziation mit kognitiven Testergebnissen. MRI-Läsionenlast war gering, strukturelle Abnormitäten aber vorhanden.</w:t>
      </w:r>
    </w:p>
    <w:p>
      <w:r>
        <w:rPr>
          <w:b/>
          <w:sz w:val="19"/>
        </w:rPr>
        <w:t xml:space="preserve">Übertragbarkeit: </w:t>
      </w:r>
      <w:r>
        <w:rPr>
          <w:sz w:val="19"/>
        </w:rPr>
        <w:t>Taiwan, kleine Pilotstichprobe, Konzept der Mehrfacherkrankung mit kognitiven Folgen zentral</w:t>
      </w:r>
    </w:p>
    <w:p>
      <w:r>
        <w:rPr>
          <w:color w:val="5A7D3A"/>
          <w:sz w:val="18"/>
        </w:rPr>
        <w:t>https://pubmed.ncbi.nlm.nih.gov/42694884/</w:t>
      </w:r>
    </w:p>
    <w:p>
      <w:pPr>
        <w:pStyle w:val="Heading2"/>
      </w:pPr>
      <w:r>
        <w:t>Behandlungslast verschlechtert Gesundheit bei Mehrfacherkrankung: Stressanpassung hilft</w:t>
      </w:r>
    </w:p>
    <w:p>
      <w:r>
        <w:rPr>
          <w:i/>
          <w:color w:val="666666"/>
          <w:sz w:val="18"/>
        </w:rPr>
        <w:t>Shi Y et al.  ·  Front Public Health  ·  20.08.2026  ·  PMID 42694161</w:t>
      </w:r>
    </w:p>
    <w:p>
      <w:r>
        <w:t>Querschnittsuntersuchung mit Mediationsanalyse an 507 älteren Patienten mit komplexer Mehrfacherkrankung in Zhejiang, China; Beziehung zwischen Behandlungslast und ganzheitlichem Gesundheitsstatus.</w:t>
      </w:r>
    </w:p>
    <w:p>
      <w:r>
        <w:rPr>
          <w:b/>
        </w:rPr>
        <w:t xml:space="preserve">Ergebnis: </w:t>
      </w:r>
      <w:r>
        <w:t>Behandlungslast hatte direkten negativen Effekt auf Gesundheitsstatus (B = -0,263; 95%-KI -0,357 bis -0,168), Gesamteffekt -0,449 (KI -0,538 bis -0,360). Depressive Symptome und Stressanpassungskapazität mediierten diesen Effekt partiell (jeweils ca. 10% indirekte Effekte).</w:t>
      </w:r>
    </w:p>
    <w:p>
      <w:r>
        <w:rPr>
          <w:b/>
          <w:sz w:val="19"/>
        </w:rPr>
        <w:t xml:space="preserve">Übertragbarkeit: </w:t>
      </w:r>
      <w:r>
        <w:rPr>
          <w:sz w:val="19"/>
        </w:rPr>
        <w:t>China, aber Konzept der Behandlungslast international anerkannt, Intervention skalierbar</w:t>
      </w:r>
    </w:p>
    <w:p>
      <w:r>
        <w:rPr>
          <w:color w:val="5A7D3A"/>
          <w:sz w:val="18"/>
        </w:rPr>
        <w:t>https://pubmed.ncbi.nlm.nih.gov/42694161/</w:t>
      </w:r>
    </w:p>
    <w:p>
      <w:pPr>
        <w:pStyle w:val="Heading2"/>
      </w:pPr>
      <w:r>
        <w:t>Nephrologen unterschätzen Symptombelastung bei CKD – Patientensicht zählt</w:t>
      </w:r>
    </w:p>
    <w:p>
      <w:r>
        <w:rPr>
          <w:i/>
          <w:color w:val="666666"/>
          <w:sz w:val="18"/>
        </w:rPr>
        <w:t>Jessen B et al.  ·  Inn Med (Heidelb)  ·  22.07.2026  ·  PMID 42484874</w:t>
      </w:r>
    </w:p>
    <w:p>
      <w:r>
        <w:t>Deutschlandweite Online-Befragung: 108 Nephrologen bewerteten durchschnittliche Symptombelastung bei CKD (Chronic Kidney Disease Symptom Burden Index, CKD-SBI), Vergleich mit Selbstangaben von 222 CKD-Patienten ohne Dialysepflicht.</w:t>
      </w:r>
    </w:p>
    <w:p>
      <w:r>
        <w:rPr>
          <w:b/>
        </w:rPr>
        <w:t xml:space="preserve">Ergebnis: </w:t>
      </w:r>
      <w:r>
        <w:t>Nephrologen nannten Fatigue (69,4%), Ödeme (38,9%), Hypertonie (35,2%) als häufigste; Patienten nannten Nykturie (74,3%), Fatigue (61,3%), Schlafstörungen (47,3%). Nephrologen überschätzten Gesamtbelastung und fünf Einzelsymptome signifikant, unterschätzten Belastung von 12 Symptomen.</w:t>
      </w:r>
    </w:p>
    <w:p>
      <w:r>
        <w:rPr>
          <w:b/>
          <w:sz w:val="19"/>
        </w:rPr>
        <w:t xml:space="preserve">Übertragbarkeit: </w:t>
      </w:r>
      <w:r>
        <w:rPr>
          <w:sz w:val="19"/>
        </w:rPr>
        <w:t>Deutschland, deutschsprachig, direkte Übertragbarkeit auf Praxis und Kliniken</w:t>
      </w:r>
    </w:p>
    <w:p>
      <w:r>
        <w:rPr>
          <w:color w:val="5A7D3A"/>
          <w:sz w:val="18"/>
        </w:rPr>
        <w:t>https://pubmed.ncbi.nlm.nih.gov/42484874/</w:t>
      </w:r>
    </w:p>
    <w:p>
      <w:pPr>
        <w:pStyle w:val="Heading2"/>
      </w:pPr>
      <w:r>
        <w:t>Wrist-Wearable Sensors erkennen COPD-Risiko früh durch digitale Gangmuster</w:t>
      </w:r>
    </w:p>
    <w:p>
      <w:r>
        <w:rPr>
          <w:i/>
          <w:color w:val="666666"/>
          <w:sz w:val="18"/>
        </w:rPr>
        <w:t>Fernandez N et al.  ·  Int J Chron Obstruct Pulmon Dis  ·  17.07.2026  ·  PMID 42482839</w:t>
      </w:r>
    </w:p>
    <w:p>
      <w:r>
        <w:t>Prospektive Kohortenstudie an 28.251 UK-Biobank-Teilnehmern (60-78 Jahre) mit Beschleunigungsmessern zur Prüfung, ob reale Mobilitätsmuster Hinweis auf künftiges COPD-Auftreten geben.</w:t>
      </w:r>
    </w:p>
    <w:p>
      <w:r>
        <w:rPr>
          <w:b/>
        </w:rPr>
        <w:t xml:space="preserve">Ergebnis: </w:t>
      </w:r>
      <w:r>
        <w:t>Bei 639 Teilnehmern (2,26%) trat COPD während des Beobachtungszeitraums von durchschnittlich 8,5 Jahren auf. Vier digitale Ganzbiomarker (niedrigere Laufdauer, langsamere maximale Gehgeschwindigkeit, kürzere Gehpausen, geringerer Anteil von Gängen länger als 8 Sekunden) waren unabhängig mit künftiger COPD assoziiert; ein Modell mit diesen vier Biomarkern plus Selbstangaben erreichte einen Konkordanzindex von 0,80 und ist damit vergleichbar mit klinischen Tests.</w:t>
      </w:r>
    </w:p>
    <w:p>
      <w:r>
        <w:rPr>
          <w:b/>
          <w:sz w:val="19"/>
        </w:rPr>
        <w:t xml:space="preserve">Übertragbarkeit: </w:t>
      </w:r>
      <w:r>
        <w:rPr>
          <w:sz w:val="19"/>
        </w:rPr>
        <w:t>UK-Biobank-Daten, digitale Biometrie auf Smartwatches übertragbar</w:t>
      </w:r>
    </w:p>
    <w:p>
      <w:r>
        <w:rPr>
          <w:color w:val="5A7D3A"/>
          <w:sz w:val="18"/>
        </w:rPr>
        <w:t>https://pubmed.ncbi.nlm.nih.gov/42482839/</w:t>
      </w:r>
    </w:p>
    <w:p>
      <w:pPr>
        <w:pStyle w:val="Heading1"/>
      </w:pPr>
      <w:r>
        <w:t>Aufgenommen am 05.09.2026</w:t>
      </w:r>
    </w:p>
    <w:p>
      <w:pPr>
        <w:pStyle w:val="Heading2"/>
      </w:pPr>
      <w:r>
        <w:t>Regionale Benachteiligung (nicht Einzelindividuum) prägte Leberfibrose bei HBV-Infektion</w:t>
      </w:r>
    </w:p>
    <w:p>
      <w:r>
        <w:rPr>
          <w:i/>
          <w:color w:val="666666"/>
          <w:sz w:val="18"/>
        </w:rPr>
        <w:t>Çiçek Y et al.  ·  Infect Dis Poverty  ·  03.09.2026  ·  PMID 42693478</w:t>
      </w:r>
    </w:p>
    <w:p>
      <w:r>
        <w:t>Nationale türkische Multicenterstudie (24 Zentren, n=956) zu Assoziation von Sozioökonomie (Individual- und Gebietsebene) mit Leberfibrosegrad bei CHB.</w:t>
      </w:r>
    </w:p>
    <w:p>
      <w:r>
        <w:rPr>
          <w:b/>
        </w:rPr>
        <w:t xml:space="preserve">Ergebnis: </w:t>
      </w:r>
      <w:r>
        <w:t>Leberfibrosegrad assoziiert mit älterem Alter (aOR 1,12 pro 10 Jahre), längerer Anfahrtszeit zu CHB-Fachzentrum (aOR 1,53 pro Kategorie, p&lt;0,001), aber vor allem mit niedriger Wohngebiets-Sozioökonomie (aOR 1,97 pro Stufe, p&lt;0,001); Vergleich höchste vs. niedrigste Stufe: aOR 26,00 (95%-KI 8,21–82,37).</w:t>
      </w:r>
    </w:p>
    <w:p>
      <w:r>
        <w:rPr>
          <w:b/>
          <w:sz w:val="19"/>
        </w:rPr>
        <w:t xml:space="preserve">Übertragbarkeit: </w:t>
      </w:r>
      <w:r>
        <w:rPr>
          <w:sz w:val="19"/>
        </w:rPr>
        <w:t>Türkei (vergleichbares Gesundheitswesen); regionale Ungleichheit oft unterschätzt, Koordinationszugang zentral für Prognose.</w:t>
      </w:r>
    </w:p>
    <w:p>
      <w:r>
        <w:rPr>
          <w:color w:val="5A7D3A"/>
          <w:sz w:val="18"/>
        </w:rPr>
        <w:t>https://pubmed.ncbi.nlm.nih.gov/42693478/</w:t>
      </w:r>
    </w:p>
    <w:p>
      <w:pPr>
        <w:pStyle w:val="Heading2"/>
      </w:pPr>
      <w:r>
        <w:t>Extracorporeal CO₂-Elimination verkürzte Beatmungsdauer bei schwerem COPD-Exazerbation</w:t>
      </w:r>
    </w:p>
    <w:p>
      <w:r>
        <w:rPr>
          <w:i/>
          <w:color w:val="666666"/>
          <w:sz w:val="18"/>
        </w:rPr>
        <w:t>Karagiannidis C et al.  ·  Crit Care  ·  03.09.2026  ·  PMID 42693471</w:t>
      </w:r>
    </w:p>
    <w:p>
      <w:r>
        <w:t>Randomisierte Studie zu ECCO₂R-gestützter Früh-Extubation vs. Standard-Beatmung bei invasiv beatmeten COPD-Patienten mit hypercapnischer Ateminsuffizienz.</w:t>
      </w:r>
    </w:p>
    <w:p>
      <w:r>
        <w:rPr>
          <w:b/>
        </w:rPr>
        <w:t xml:space="preserve">Ergebnis: </w:t>
      </w:r>
      <w:r>
        <w:t>ECCO₂R-Gruppe: Beatmungsdauer 7,1±2,0 Tage vs. Kontrolle 24,3±21,4 Tage (p=0,043); 0/8 vs. 3/9 (33 %) mit Tod/schwerer Behinderung; ventilatorassoziierte Pneumonie 0 vs. 37,5 %. Studie vorzeitig beendet (n=18, geplant 192), aber konsistente Trends für ECCO₂R.</w:t>
      </w:r>
    </w:p>
    <w:p>
      <w:r>
        <w:rPr>
          <w:b/>
          <w:sz w:val="19"/>
        </w:rPr>
        <w:t xml:space="preserve">Übertragbarkeit: </w:t>
      </w:r>
      <w:r>
        <w:rPr>
          <w:sz w:val="19"/>
        </w:rPr>
        <w:t>Deutschland: Spezialisierte Zentren, technische Verfügbarkeit und Kostenübernahme prüfen.</w:t>
      </w:r>
    </w:p>
    <w:p>
      <w:r>
        <w:rPr>
          <w:color w:val="5A7D3A"/>
          <w:sz w:val="18"/>
        </w:rPr>
        <w:t>https://pubmed.ncbi.nlm.nih.gov/42693471/</w:t>
      </w:r>
    </w:p>
    <w:p>
      <w:pPr>
        <w:pStyle w:val="Heading2"/>
      </w:pPr>
      <w:r>
        <w:t>Metabolisches Syndrom-Scoring sagte Mehrfacherkrankung voraus: 1,35-fache Risikoerhöhung</w:t>
      </w:r>
    </w:p>
    <w:p>
      <w:r>
        <w:rPr>
          <w:i/>
          <w:color w:val="666666"/>
          <w:sz w:val="18"/>
        </w:rPr>
        <w:t>Zhang W et al.  ·  Sci Rep  ·  24.07.2026  ·  PMID 42693153</w:t>
      </w:r>
    </w:p>
    <w:p>
      <w:r>
        <w:t>Prospektive Analyse von 17.894 Teilnehmern (China, USA, UK) zur Vorhersage kardiometabolischer Mehrfacherkrankung durch kontinuierliches Metabolisches-Syndrom-Score.</w:t>
      </w:r>
    </w:p>
    <w:p>
      <w:r>
        <w:rPr>
          <w:b/>
        </w:rPr>
        <w:t xml:space="preserve">Ergebnis: </w:t>
      </w:r>
      <w:r>
        <w:t>Über Medianfolgeup 4–7 Jahre: 1.061 Fälle kardiometabolischer Mehrfacherkrankung. Höchstes vs. niedriges Tertil des Score assoziiert mit HR 1,77–4,27 je nach Kohorte. Gepoolte HR pro 1-SD-Anstieg: 1,35 (95%-KI 1,17–1,56). Dosis-Wirkungs-Beziehung dosisabhängig oder linear.</w:t>
      </w:r>
    </w:p>
    <w:p>
      <w:r>
        <w:rPr>
          <w:b/>
          <w:sz w:val="19"/>
        </w:rPr>
        <w:t xml:space="preserve">Übertragbarkeit: </w:t>
      </w:r>
      <w:r>
        <w:rPr>
          <w:sz w:val="19"/>
        </w:rPr>
        <w:t>China, USA, UK; Risikostratifizierungsmodell universal anwendbar, aber externe Validierung ausstehend.</w:t>
      </w:r>
    </w:p>
    <w:p>
      <w:r>
        <w:rPr>
          <w:color w:val="5A7D3A"/>
          <w:sz w:val="18"/>
        </w:rPr>
        <w:t>https://pubmed.ncbi.nlm.nih.gov/42693153/</w:t>
      </w:r>
    </w:p>
    <w:p>
      <w:pPr>
        <w:pStyle w:val="Heading2"/>
      </w:pPr>
      <w:r>
        <w:t>ESA- und Eisenmanagement erforderte 1.093 Monats-Arbeitsstunden in französischen Dialysezentren</w:t>
      </w:r>
    </w:p>
    <w:p>
      <w:r>
        <w:rPr>
          <w:i/>
          <w:color w:val="666666"/>
          <w:sz w:val="18"/>
        </w:rPr>
        <w:t>El-Haik Y et al.  ·  Nephrol Ther  ·  01.08.2026  ·  PMID 42684151</w:t>
      </w:r>
    </w:p>
    <w:p>
      <w:r>
        <w:t>Organisatorische Belastungsanalyse von Erythropoese-Stimulatoren und intravenösem Eisen in 12 französischen Dialyseeinrichtungen.</w:t>
      </w:r>
    </w:p>
    <w:p>
      <w:r>
        <w:rPr>
          <w:b/>
        </w:rPr>
        <w:t xml:space="preserve">Ergebnis: </w:t>
      </w:r>
      <w:r>
        <w:t>ESA-Management 313,9 h/Monat pro Zentrum (davon 285,3 h Vorbereitung/Verabreichung/Monitoring); IV-Eisen-Management 779,3 h/Monat (664 h Verabreichung/Monitoring). 74,2 % der Kühllagerfläche für ESAs.</w:t>
      </w:r>
    </w:p>
    <w:p>
      <w:r>
        <w:rPr>
          <w:b/>
          <w:sz w:val="19"/>
        </w:rPr>
        <w:t xml:space="preserve">Übertragbarkeit: </w:t>
      </w:r>
      <w:r>
        <w:rPr>
          <w:sz w:val="19"/>
        </w:rPr>
        <w:t>Frankreich; direkte Übertragbarkeit auf deutsches Dialysesystem (DMP-ähnliche Strukturen, vergleichbare Dokumentation).</w:t>
      </w:r>
    </w:p>
    <w:p>
      <w:r>
        <w:rPr>
          <w:color w:val="5A7D3A"/>
          <w:sz w:val="18"/>
        </w:rPr>
        <w:t>https://pubmed.ncbi.nlm.nih.gov/42684151/</w:t>
      </w:r>
    </w:p>
    <w:p>
      <w:pPr>
        <w:pStyle w:val="Heading2"/>
      </w:pPr>
      <w:r>
        <w:t>Isoliert reduzierte Diffusionskapazität korrelierte mit Emphysem und Rauchen</w:t>
      </w:r>
    </w:p>
    <w:p>
      <w:r>
        <w:rPr>
          <w:i/>
          <w:color w:val="666666"/>
          <w:sz w:val="18"/>
        </w:rPr>
        <w:t>Hamrefors V et al.  ·  BMC Pulm Med  ·  31.08.2026  ·  PMID 42675482</w:t>
      </w:r>
    </w:p>
    <w:p>
      <w:r>
        <w:t>Große schwedische Querschnittsstudie (SCAPIS) zu Determinanten isoliert verminderter DLCO bei 24.261 Patienten mit normalen Spirometrieparametern.</w:t>
      </w:r>
    </w:p>
    <w:p>
      <w:r>
        <w:rPr>
          <w:b/>
        </w:rPr>
        <w:t xml:space="preserve">Ergebnis: </w:t>
      </w:r>
      <w:r>
        <w:t>DLCO unterhalb LLN (n=1.472; 6,1 %): unabhängig assoziiert mit Emphysem (OR 2,6), Lungenerkrankung außer Asthma/COPD (OR 1,8), Rauchen pro 10-Pack-Jahre (OR 1,6), interstitielle Lungenabnormitäten (OR 1,4), Belastungsbrust­schmerz (OR 1,6).</w:t>
      </w:r>
    </w:p>
    <w:p>
      <w:r>
        <w:rPr>
          <w:b/>
          <w:sz w:val="19"/>
        </w:rPr>
        <w:t xml:space="preserve">Übertragbarkeit: </w:t>
      </w:r>
      <w:r>
        <w:rPr>
          <w:sz w:val="19"/>
        </w:rPr>
        <w:t>Schweden; bevölkerungsbasiert, Screening-konzept übertragbar auf deutsches Präventiossystem.</w:t>
      </w:r>
    </w:p>
    <w:p>
      <w:r>
        <w:rPr>
          <w:color w:val="5A7D3A"/>
          <w:sz w:val="18"/>
        </w:rPr>
        <w:t>https://pubmed.ncbi.nlm.nih.gov/42675482/</w:t>
      </w:r>
    </w:p>
    <w:p>
      <w:pPr>
        <w:pStyle w:val="Heading2"/>
      </w:pPr>
      <w:r>
        <w:t>HBV-Genotyp-E-Infektionen: Resistenzmutationen unter Migration und schlechter Adhärenz</w:t>
      </w:r>
    </w:p>
    <w:p>
      <w:r>
        <w:rPr>
          <w:i/>
          <w:color w:val="666666"/>
          <w:sz w:val="18"/>
        </w:rPr>
        <w:t>Tiecco G et al.  ·  Infect Dis (Lond)  ·  03.08.2026  ·  PMID 42547309</w:t>
      </w:r>
    </w:p>
    <w:p>
      <w:r>
        <w:t>Retrospektive Fallserie (2015–2023) von 8 Patienten mit dokumentiertem HBV-Genotyp E und Resistenztest-Ergebnissen.</w:t>
      </w:r>
    </w:p>
    <w:p>
      <w:r>
        <w:rPr>
          <w:b/>
        </w:rPr>
        <w:t xml:space="preserve">Ergebnis: </w:t>
      </w:r>
      <w:r>
        <w:t>8 Patienten (62,5 % männlich, 87,5 % afrikanischer Herkunft); 75 % mit persistierender Virämie trotz Therapie; Lamivudin-Resistenz 12,5 %, Tenofovir-Resistenzmutationen 25 %, Immun-Escape-Mutationen 37,5 %; virologische Suppression nach Therapie­anpassung nur in 37,5 %.</w:t>
      </w:r>
    </w:p>
    <w:p>
      <w:r>
        <w:rPr>
          <w:b/>
          <w:sz w:val="19"/>
        </w:rPr>
        <w:t xml:space="preserve">Übertragbarkeit: </w:t>
      </w:r>
      <w:r>
        <w:rPr>
          <w:sz w:val="19"/>
        </w:rPr>
        <w:t>Italien (reales Patientenkollektiv); strukturelle Herausforderungen (Adhärenz, Migranten) in Deutschland ähnlich.</w:t>
      </w:r>
    </w:p>
    <w:p>
      <w:r>
        <w:rPr>
          <w:color w:val="5A7D3A"/>
          <w:sz w:val="18"/>
        </w:rPr>
        <w:t>https://pubmed.ncbi.nlm.nih.gov/42547309/</w:t>
      </w:r>
    </w:p>
    <w:p>
      <w:pPr>
        <w:pStyle w:val="Heading2"/>
      </w:pPr>
      <w:r>
        <w:t>HBV-assoziierte Stigmatisierung beeinträchtigte alle Lebensqualitäts-Domänen</w:t>
      </w:r>
    </w:p>
    <w:p>
      <w:r>
        <w:rPr>
          <w:i/>
          <w:color w:val="666666"/>
          <w:sz w:val="18"/>
        </w:rPr>
        <w:t>Smith V et al.  ·  J Viral Hepat  ·  Aug. 2026  ·  PMID 42499137</w:t>
      </w:r>
    </w:p>
    <w:p>
      <w:r>
        <w:t>Qualitative Studie (Concept-Elicitation-Interviews) mit 28 HBV-Patienten aus USA, China und Polen zur Erfahrung von Stigma.</w:t>
      </w:r>
    </w:p>
    <w:p>
      <w:r>
        <w:rPr>
          <w:b/>
        </w:rPr>
        <w:t xml:space="preserve">Ergebnis: </w:t>
      </w:r>
      <w:r>
        <w:t>Internalisiertes Stigma 100 %, soziales Stigma 79 %, institutionelles Stigma 57 %. Sieben Domänen identifiziert: soziale Funktion (100 %), emotionales Wohlbefinden (96 %), HBV-Transmission (96 %), körperliche Symptome, Arbeit, Beziehungen, Zugang zu Versorgung. Stigma stark mit Lebensqualitäts-Einschränkungen verwoben.</w:t>
      </w:r>
    </w:p>
    <w:p>
      <w:r>
        <w:rPr>
          <w:b/>
          <w:sz w:val="19"/>
        </w:rPr>
        <w:t xml:space="preserve">Übertragbarkeit: </w:t>
      </w:r>
      <w:r>
        <w:rPr>
          <w:sz w:val="19"/>
        </w:rPr>
        <w:t>Multinational (aber gering-Einkommens- und Mitteleinkommensländer überrepräsentiert); psychosoziale Versorgung in Deutschland unterbewertet.</w:t>
      </w:r>
    </w:p>
    <w:p>
      <w:r>
        <w:rPr>
          <w:color w:val="5A7D3A"/>
          <w:sz w:val="18"/>
        </w:rPr>
        <w:t>https://pubmed.ncbi.nlm.nih.gov/42499137/</w:t>
      </w:r>
    </w:p>
    <w:p>
      <w:pPr>
        <w:pStyle w:val="Heading1"/>
      </w:pPr>
      <w:r>
        <w:t>Aufgenommen am 04.09.2026</w:t>
      </w:r>
    </w:p>
    <w:p>
      <w:pPr>
        <w:pStyle w:val="Heading2"/>
      </w:pPr>
      <w:r>
        <w:t>Systemischer Immunentzündungs-Index sagte COPD-Wiederaufnahmen zu 90 Tagen voraus</w:t>
      </w:r>
    </w:p>
    <w:p>
      <w:r>
        <w:rPr>
          <w:i/>
          <w:color w:val="666666"/>
          <w:sz w:val="18"/>
        </w:rPr>
        <w:t>Chen Q et al.  ·  Int J Chron Obstruct Pulmon Dis  ·  28.08.2026  ·  PMID 42683431</w:t>
      </w:r>
    </w:p>
    <w:p>
      <w:r>
        <w:t>Chinesische Kohortenstudie mit 207 Patienten mit akuter COPD-Exazerbation zur prädiktiven Wertigkeit des systemischen Immunentzündungs-Index (SII) für ungeplante Wiederaufnahmen innerhalb von 90 Tagen.</w:t>
      </w:r>
    </w:p>
    <w:p>
      <w:r>
        <w:rPr>
          <w:b/>
        </w:rPr>
        <w:t xml:space="preserve">Ergebnis: </w:t>
      </w:r>
      <w:r>
        <w:t>37,7 % (78/207) erlebten Wiederaufnahmen; jede 500er-Steigerung des SII war mit erhöhtem Wiederaufnahmerisiko assoziiert (aOR 1,329, 95%-KI 1,153-1,530; p &lt; 0,001). Integriertes Modell mit SII erreichte AUC 0,809 (95%-KI 0,742-0,869) versus 0,752 für reines klinisches Modell. Nach Bootstrap-Validierung: optimismuskorrigiert 0,785; verbesserte Modellpassung (Likelihood-Ratio p &lt; 0,001).</w:t>
      </w:r>
    </w:p>
    <w:p>
      <w:r>
        <w:rPr>
          <w:b/>
          <w:sz w:val="19"/>
        </w:rPr>
        <w:t xml:space="preserve">Übertragbarkeit: </w:t>
      </w:r>
      <w:r>
        <w:rPr>
          <w:sz w:val="19"/>
        </w:rPr>
        <w:t>Chinesische Klinikdaten, Konzept übertragbar, externe Validierung erforderlich</w:t>
      </w:r>
    </w:p>
    <w:p>
      <w:r>
        <w:rPr>
          <w:color w:val="5A7D3A"/>
          <w:sz w:val="18"/>
        </w:rPr>
        <w:t>https://pubmed.ncbi.nlm.nih.gov/42683431/</w:t>
      </w:r>
    </w:p>
    <w:p>
      <w:pPr>
        <w:pStyle w:val="Heading2"/>
      </w:pPr>
      <w:r>
        <w:t>Schlechter Schlaf erhöhte Komplikationsrisiko bei chronischer Nierenkrankheit um 19-54 %</w:t>
      </w:r>
    </w:p>
    <w:p>
      <w:r>
        <w:rPr>
          <w:i/>
          <w:color w:val="666666"/>
          <w:sz w:val="18"/>
        </w:rPr>
        <w:t>Lei K et al.  ·  Front Public Health  ·  18.08.2026  ·  PMID 42682672</w:t>
      </w:r>
    </w:p>
    <w:p>
      <w:r>
        <w:t>Kohortenstudie mit 15.809 CKD-Patienten aus UK Biobank (2006-2010, Nachverfolgung bis 2022) zur Assoziation von multidimensionalen Schlafmustern mit Anämie, kardiovaskulären Ereignissen, kognitiven Beeinträchtigungen und Nebenschilddrüsenüberfunktion.</w:t>
      </w:r>
    </w:p>
    <w:p>
      <w:r>
        <w:rPr>
          <w:b/>
        </w:rPr>
        <w:t xml:space="preserve">Ergebnis: </w:t>
      </w:r>
      <w:r>
        <w:t>Schwere Insomnie mit kurzer oder langer Schlafdauer und schwer gestörter Schlaf waren mit 19-54 % höheren Risiken für Anämie, kardiovaskuläre Erkrankungen und Nebenschilddrüsenüberfunktion assoziiert (alle p &lt; 0,05). Höhere Schlafqualität war unabhängig mit reduzierten Risiken dieser Komplikationen verbunden. Schlafprofile zeigten Heterogenität in Assoziation mit Ergebnissen je nach Geschlecht und Nierenfunktion.</w:t>
      </w:r>
    </w:p>
    <w:p>
      <w:r>
        <w:rPr>
          <w:b/>
          <w:sz w:val="19"/>
        </w:rPr>
        <w:t xml:space="preserve">Übertragbarkeit: </w:t>
      </w:r>
      <w:r>
        <w:rPr>
          <w:sz w:val="19"/>
        </w:rPr>
        <w:t>UK-Biobank, vergleichbare europäische Systeme und Datenqualität</w:t>
      </w:r>
    </w:p>
    <w:p>
      <w:r>
        <w:rPr>
          <w:color w:val="5A7D3A"/>
          <w:sz w:val="18"/>
        </w:rPr>
        <w:t>https://pubmed.ncbi.nlm.nih.gov/42682672/</w:t>
      </w:r>
    </w:p>
    <w:p>
      <w:pPr>
        <w:pStyle w:val="Heading2"/>
      </w:pPr>
      <w:r>
        <w:t>Quantitative Hepatitis-B-Oberflächenantigen-Tests: nur 37,4 % spanischer Labore implementiert</w:t>
      </w:r>
    </w:p>
    <w:p>
      <w:r>
        <w:rPr>
          <w:i/>
          <w:color w:val="666666"/>
          <w:sz w:val="18"/>
        </w:rPr>
        <w:t>Chaves-Blanco L et al.  ·  Enferm Infecc Microbiol Clin (Engl Ed)  ·  Aug. 2026  ·  PMID 42542350</w:t>
      </w:r>
    </w:p>
    <w:p>
      <w:r>
        <w:t>Nationale spanische Querschnittsstudie von 91 klinisch-mikrobiologischen Laboren zur Implementierung und Praktiken von quantitativem HBsAg-Testing (qHBsAg) für das Chronic-Hepatitis-B-Management.</w:t>
      </w:r>
    </w:p>
    <w:p>
      <w:r>
        <w:rPr>
          <w:b/>
        </w:rPr>
        <w:t xml:space="preserve">Ergebnis: </w:t>
      </w:r>
      <w:r>
        <w:t>37,4 % (34/91) führten qHBsAg durch; 86 % der Nicht-Durchführer verwiesen Proben nicht wegen wahrgenommener geringer klinischer Nachfrage (57,1 %). Implementierung korrelierte mit Krankenhausgröße (p = 0,041): 0 % bei &lt;200 Betten, 23,3 % bei 200-500, 44,9 % bei 500-1000, 62,5 % bei ≥1000. Unter durchführenden Labs: 57,6 % quantifizierten nach positivem qualitativem Test, 27,3 % auf Anforderung, 15,2 % als initiales Screening. Heterogene Meldepraxis.</w:t>
      </w:r>
    </w:p>
    <w:p>
      <w:r>
        <w:rPr>
          <w:b/>
          <w:sz w:val="19"/>
        </w:rPr>
        <w:t xml:space="preserve">Übertragbarkeit: </w:t>
      </w:r>
      <w:r>
        <w:rPr>
          <w:sz w:val="19"/>
        </w:rPr>
        <w:t>Spanien, direkt auf Deutschland übertragbar für Implementierungs-Gaps</w:t>
      </w:r>
    </w:p>
    <w:p>
      <w:r>
        <w:rPr>
          <w:color w:val="5A7D3A"/>
          <w:sz w:val="18"/>
        </w:rPr>
        <w:t>https://pubmed.ncbi.nlm.nih.gov/42542350/</w:t>
      </w:r>
    </w:p>
    <w:p>
      <w:pPr>
        <w:pStyle w:val="Heading2"/>
      </w:pPr>
      <w:r>
        <w:t>Finerenone reduzierte Albuminurie bei Typ-2-Diabetes und CKD um 34,5 % in Routineversorgung</w:t>
      </w:r>
    </w:p>
    <w:p>
      <w:r>
        <w:rPr>
          <w:i/>
          <w:color w:val="666666"/>
          <w:sz w:val="18"/>
        </w:rPr>
        <w:t>Moreno-Pérez O et al.  ·  Diabetes Obes Metab  ·  30.07.2026  ·  PMID 42533276</w:t>
      </w:r>
    </w:p>
    <w:p>
      <w:r>
        <w:t>Spanische Multicenterstudie zur Effektivität und Sicherheit von Finerenon bei Patienten mit Typ-2-Diabetes und chronischer Nierenerkrankung in der Routineversorgung.</w:t>
      </w:r>
    </w:p>
    <w:p>
      <w:r>
        <w:rPr>
          <w:b/>
        </w:rPr>
        <w:t xml:space="preserve">Ergebnis: </w:t>
      </w:r>
      <w:r>
        <w:t>Bei 844 Patienten (Medianalter 72 Jahre, Median eGFR 49 mL/min/1,73 m²) reduzierte Finerenon die Albuminurie-zu-Kreatinin-Ratio (UACR) um Medianalter 34,5 % nach 6 Monaten (p &lt; 0,001), unabhängig von Hintergrundnephroprotektiva. 52,7 % erreichten die primäre Zielmarke von ≥30 % UACR-Reduktion; 89,5 % Persistenz der Therapie; Hyperkaliämie 4,8 %, Herz-Kreislauf-Ereignisse 1,1 %. Finerenon verbesserte albuminurische Marker auch bei intensiver Vormedikation.</w:t>
      </w:r>
    </w:p>
    <w:p>
      <w:r>
        <w:rPr>
          <w:b/>
          <w:sz w:val="19"/>
        </w:rPr>
        <w:t xml:space="preserve">Übertragbarkeit: </w:t>
      </w:r>
      <w:r>
        <w:rPr>
          <w:sz w:val="19"/>
        </w:rPr>
        <w:t>Spanische Routinedaten, vergleichbares Sozialversicherungssystem</w:t>
      </w:r>
    </w:p>
    <w:p>
      <w:r>
        <w:rPr>
          <w:color w:val="5A7D3A"/>
          <w:sz w:val="18"/>
        </w:rPr>
        <w:t>https://pubmed.ncbi.nlm.nih.gov/42533276/</w:t>
      </w:r>
    </w:p>
    <w:p>
      <w:pPr>
        <w:pStyle w:val="Heading2"/>
      </w:pPr>
      <w:r>
        <w:t>Integrierter Versorgungspfad bei Long COVID: alle Interventionen erzielten Fatigue-Reduktion</w:t>
      </w:r>
    </w:p>
    <w:p>
      <w:r>
        <w:rPr>
          <w:i/>
          <w:color w:val="666666"/>
          <w:sz w:val="18"/>
        </w:rPr>
        <w:t>STIMULATE-ICP Consortium  ·  Nat Med  ·  28.07.2026  ·  PMID 42521821</w:t>
      </w:r>
    </w:p>
    <w:p>
      <w:r>
        <w:t>Phase-3-Cluster-RCT mit 1.152 Teilnehmern aus 122 englischen Primary-Care-Netzwerken zum Effekt von Multi-Organ-MRI und/oder digitaler Rehabilitation im Rahmen strukturierter ICP-Interventionen auf Fatigue-Assessment-Scale nach 12 und 24 Wochen.</w:t>
      </w:r>
    </w:p>
    <w:p>
      <w:r>
        <w:rPr>
          <w:b/>
        </w:rPr>
        <w:t xml:space="preserve">Ergebnis: </w:t>
      </w:r>
      <w:r>
        <w:t>Fatigue-Assessment-Scale verbesserte sich in allen Armen um 4,5 Punkte von 35,8 auf 31,3 (nach 12 Wochen); zusätzliche Multi-Organ-MRI zeigte 0,18-Punkte-Vorteil (95%-KI -0,72 bis 1,09; p = 0,69), digitale Rehabilitation -0,53 Punkte (95%-KI -1,42 bis 0,36; p = 0,25). Multidisziplinäre holistische Versorgung allein war mit Verbesserungen verbunden. Keine schwerwiegenden unerwünschten Ereignisse.</w:t>
      </w:r>
    </w:p>
    <w:p>
      <w:r>
        <w:rPr>
          <w:b/>
          <w:sz w:val="19"/>
        </w:rPr>
        <w:t xml:space="preserve">Übertragbarkeit: </w:t>
      </w:r>
      <w:r>
        <w:rPr>
          <w:sz w:val="19"/>
        </w:rPr>
        <w:t>Englische NHS-Daten, vergleichbares Versicherungssystem und Zugangswege</w:t>
      </w:r>
    </w:p>
    <w:p>
      <w:r>
        <w:rPr>
          <w:color w:val="5A7D3A"/>
          <w:sz w:val="18"/>
        </w:rPr>
        <w:t>https://pubmed.ncbi.nlm.nih.gov/42521821/</w:t>
      </w:r>
    </w:p>
    <w:p>
      <w:pPr>
        <w:pStyle w:val="Heading1"/>
      </w:pPr>
      <w:r>
        <w:t>Aufgenommen am 03.09.2026</w:t>
      </w:r>
    </w:p>
    <w:p>
      <w:pPr>
        <w:pStyle w:val="Heading2"/>
      </w:pPr>
      <w:r>
        <w:t>Dysbiose und Obstipation bei Dialysepatienten: Mikrobiotargetierende Interventionen versprechen, aber evidenzlimitiert</w:t>
      </w:r>
    </w:p>
    <w:p>
      <w:r>
        <w:rPr>
          <w:i/>
          <w:color w:val="666666"/>
          <w:sz w:val="18"/>
        </w:rPr>
        <w:t>Shen Z et al.  ·  Front Cell Infect Microbiol  ·  18.08.2026  ·  PMID 42683184</w:t>
      </w:r>
    </w:p>
    <w:p>
      <w:r>
        <w:t>Narrativer Übersichtsartikel, der Veränderungen der Darmflora bei Patienten mit Nierenersatztherapie (ESRD) und Obstipation, ihre pathogenen Mechanismen und Therapieoptionen (Probiotika, Präbiotika, Ernährung) systematisch zusammenfasst.</w:t>
      </w:r>
    </w:p>
    <w:p>
      <w:r>
        <w:rPr>
          <w:b/>
        </w:rPr>
        <w:t xml:space="preserve">Ergebnis: </w:t>
      </w:r>
      <w:r>
        <w:t>Kernbefund: Dysbiose mit reduzierter kurzkettigen-Fettsäure-produzierenden Bakterien und erhöhten urease-positiven Spezies; bidirektionaler Mikrobiotagutkidney-Teufelskreis mit erhöhter intestinaler Permeabilität und Nierenschaden. Evidenz für Interventionen vorhanden, aber Sicherheitsaspekte und klinische Praktikabilität unklar.</w:t>
      </w:r>
    </w:p>
    <w:p>
      <w:r>
        <w:rPr>
          <w:b/>
          <w:sz w:val="19"/>
        </w:rPr>
        <w:t xml:space="preserve">Übertragbarkeit: </w:t>
      </w:r>
      <w:r>
        <w:rPr>
          <w:sz w:val="19"/>
        </w:rPr>
        <w:t>Pathophysiologie-Fokus, Interventionsevidenz zu fragmentarisch für direkte deutsche Implementierung</w:t>
      </w:r>
    </w:p>
    <w:p>
      <w:r>
        <w:rPr>
          <w:color w:val="5A7D3A"/>
          <w:sz w:val="18"/>
        </w:rPr>
        <w:t>https://pubmed.ncbi.nlm.nih.gov/42683184/</w:t>
      </w:r>
    </w:p>
    <w:p>
      <w:pPr>
        <w:pStyle w:val="Heading2"/>
      </w:pPr>
      <w:r>
        <w:t>Dapagliflozin und CKD-Progression: Effekt auf eGFR-Rückgang inkonsistent, aber Reduktion klinischer Nierenendpunkte</w:t>
      </w:r>
    </w:p>
    <w:p>
      <w:r>
        <w:rPr>
          <w:i/>
          <w:color w:val="666666"/>
          <w:sz w:val="18"/>
        </w:rPr>
        <w:t>Shadravan S et al.  ·  Iran J Kidney Dis  ·  31.07.2026  ·  PMID 42679368</w:t>
      </w:r>
    </w:p>
    <w:p>
      <w:r>
        <w:t>Systematische Übersicht von 15 Studien zur Wirkung von Dapagliflozin auf chronische Nierenerkrankung; 11 waren Sekundäranalysen der DAPA-CKD-Studie mit 4.304 Teilnehmern; nur vier unabhängige Studien nach Ausschluss von Doppeltgennung verfügbar.</w:t>
      </w:r>
    </w:p>
    <w:p>
      <w:r>
        <w:rPr>
          <w:b/>
        </w:rPr>
        <w:t xml:space="preserve">Ergebnis: </w:t>
      </w:r>
      <w:r>
        <w:t>eGFR-Effekte hochgradig heterogen (-6,6 bis +0,93 mL/min/1,73m²; I²=93,7 %); DAPA-CKD zeigte Reduktion ungünstiger klinischer renaler Ergebnisse. Heterogenität und begrenzte unabhängige Evidenz verhindern Metaanalyse; dapagliflozin erscheint nierenschützend und sicher für CKD.</w:t>
      </w:r>
    </w:p>
    <w:p>
      <w:r>
        <w:rPr>
          <w:b/>
          <w:sz w:val="19"/>
        </w:rPr>
        <w:t xml:space="preserve">Übertragbarkeit: </w:t>
      </w:r>
      <w:r>
        <w:rPr>
          <w:sz w:val="19"/>
        </w:rPr>
        <w:t>Internationale Evidenz, kardiorenales Konzept übertragbar; Datenstabilität limitiert</w:t>
      </w:r>
    </w:p>
    <w:p>
      <w:r>
        <w:rPr>
          <w:color w:val="5A7D3A"/>
          <w:sz w:val="18"/>
        </w:rPr>
        <w:t>https://pubmed.ncbi.nlm.nih.gov/42679368/</w:t>
      </w:r>
    </w:p>
    <w:p>
      <w:pPr>
        <w:pStyle w:val="Heading2"/>
      </w:pPr>
      <w:r>
        <w:t>COPD-Therapietreue: Nur 30–50 % erreichen optimale Adhärenz; COM-B-Modell identifiziert veränderbare Faktoren</w:t>
      </w:r>
    </w:p>
    <w:p>
      <w:r>
        <w:rPr>
          <w:i/>
          <w:color w:val="666666"/>
          <w:sz w:val="18"/>
        </w:rPr>
        <w:t>Zhang Y et al.  ·  Int J Chron Obstruct Pulmon Dis  ·  27.08.2026  ·  PMID 42677250</w:t>
      </w:r>
    </w:p>
    <w:p>
      <w:r>
        <w:t>Narrative Übersichtsarbeit, die Literatur zu Adhärenz-Messverfahren, Prävalenz (MPR ≥80 % bei nur 30–50 % der Patienten), Einflussfaktoren und Interventionsstrategien anhand des Capability-Opportunity-Motivation-Behaviour-Modells systematisiert.</w:t>
      </w:r>
    </w:p>
    <w:p>
      <w:r>
        <w:rPr>
          <w:b/>
        </w:rPr>
        <w:t xml:space="preserve">Ergebnis: </w:t>
      </w:r>
      <w:r>
        <w:t>Inhalationstechnikfehler 30–50 %, therapieverweigerung bei Depression/Angststörung ca. 20–25 % niedriger; Single-Inhaler-Triple-Therapie versus Multiple-Inhaler zeigte 18-Monats-Persistenz 16,5 % vs. 2,3 %. Höhere Adhärenz assoziiert mit 51 % Reduktion exazerbationsbedingter Hospitalisierung und Attenuation des FEV1-Rückgangs um ca. 21 mL/Jahr.</w:t>
      </w:r>
    </w:p>
    <w:p>
      <w:r>
        <w:rPr>
          <w:b/>
          <w:sz w:val="19"/>
        </w:rPr>
        <w:t xml:space="preserve">Übertragbarkeit: </w:t>
      </w:r>
      <w:r>
        <w:rPr>
          <w:sz w:val="19"/>
        </w:rPr>
        <w:t>Internationale Literatur, Adhärenz-Muster ähnlich wie Deutschland; länderspezifische Zahlen begrenzt</w:t>
      </w:r>
    </w:p>
    <w:p>
      <w:r>
        <w:rPr>
          <w:color w:val="5A7D3A"/>
          <w:sz w:val="18"/>
        </w:rPr>
        <w:t>https://pubmed.ncbi.nlm.nih.gov/42677250/</w:t>
      </w:r>
    </w:p>
    <w:p>
      <w:pPr>
        <w:pStyle w:val="Heading2"/>
      </w:pPr>
      <w:r>
        <w:t>COPD-Verhalten: Vier Phänotypen kombinieren Inhalationstechnik und Adhärenz; Wissenslücken zielbar</w:t>
      </w:r>
    </w:p>
    <w:p>
      <w:r>
        <w:rPr>
          <w:i/>
          <w:color w:val="666666"/>
          <w:sz w:val="18"/>
        </w:rPr>
        <w:t>Xiang J et al.  ·  Int J Chron Obstruct Pulmon Dis  ·  27.08.2026  ·  PMID 42677230</w:t>
      </w:r>
    </w:p>
    <w:p>
      <w:r>
        <w:t>Querschnittsstudie mit 700 COPD-Patienten in Peking 2025, die kombinierte Inhalationstechnik und Therapietreue zur Klassifizierung in vier Verhaltenphänotypen nutzten; Assoziationen mit Patientenmerkmalen berechnet.</w:t>
      </w:r>
    </w:p>
    <w:p>
      <w:r>
        <w:rPr>
          <w:b/>
        </w:rPr>
        <w:t xml:space="preserve">Ergebnis: </w:t>
      </w:r>
      <w:r>
        <w:t>Nur 25,3 % zeigten perfekte Inhalationstechnik, 59,0 % gute Adhärenz. Vier Phänotypen: Standard+Adhärent (20,7 %), Nicht-adhärent+Standard (4,6 %), Adhärent+Nicht-standard (38,3 %), Nicht-standard+Nicht-adhärent (36,4 %). Krankheitswissen stärkster Prädiktor: korrekte vs. fehlerhafte Technik OR 0,30–0,35 (p&lt;0,001). Krankheitsdauer assoziiert mit unterschiedlichen Adhärenzmustern.</w:t>
      </w:r>
    </w:p>
    <w:p>
      <w:r>
        <w:rPr>
          <w:b/>
          <w:sz w:val="19"/>
        </w:rPr>
        <w:t xml:space="preserve">Übertragbarkeit: </w:t>
      </w:r>
      <w:r>
        <w:rPr>
          <w:sz w:val="19"/>
        </w:rPr>
        <w:t>China, hoher Techniktransferpotential, Wissenslückenmodell auch für Deutschland prädiktiv</w:t>
      </w:r>
    </w:p>
    <w:p>
      <w:r>
        <w:rPr>
          <w:color w:val="5A7D3A"/>
          <w:sz w:val="18"/>
        </w:rPr>
        <w:t>https://pubmed.ncbi.nlm.nih.gov/42677230/</w:t>
      </w:r>
    </w:p>
    <w:p>
      <w:pPr>
        <w:pStyle w:val="Heading2"/>
      </w:pPr>
      <w:r>
        <w:t>Pädiatrische Notfallverstärkung bei komplexen Erkrankungen: Zentrale Konzentration in Seoul, Reisedistanz erhöht Mortalität</w:t>
      </w:r>
    </w:p>
    <w:p>
      <w:r>
        <w:rPr>
          <w:i/>
          <w:color w:val="666666"/>
          <w:sz w:val="18"/>
        </w:rPr>
        <w:t>Choi YY et al.  ·  J Korean Med Sci  ·  31.08.2026  ·  PMID 42676071</w:t>
      </w:r>
    </w:p>
    <w:p>
      <w:r>
        <w:t>Nationale Analyse südkoreanischer Notfallbesuche 2016–2022 (7,76 Millionen Fälle), davon 149.306 (1,9 %) mit komplexen chronischen Erkrankungen (CCCs); Reisedistanz und regionale Unterschiede in Versorgungsergebnissen untersucht.</w:t>
      </w:r>
    </w:p>
    <w:p>
      <w:r>
        <w:rPr>
          <w:b/>
        </w:rPr>
        <w:t xml:space="preserve">Ergebnis: </w:t>
      </w:r>
      <w:r>
        <w:t>CCC-Patienten: höhere Akuität (16,5 % vs. 3,1 %), längere Anfahrt (11,2 vs. 6,2 km), ICU-Admission 4,4 % vs. 0,3 %, ED-Todesfälle 0,2 % vs. 0,04 %. 47,9 % aller CCC-Fälle in Seoul; längere Reise unabhängig mit Mortalität assoziiert: OR 1,3 (15–59,9 km), 1,6 (60–99,9 km), 1,3 (≥100 km). Zentrale Konzentration (40,7 % in 5 Krankenhäusern) zeigt Gesamtfehler in Ressourcenallokation.</w:t>
      </w:r>
    </w:p>
    <w:p>
      <w:r>
        <w:rPr>
          <w:b/>
          <w:sz w:val="19"/>
        </w:rPr>
        <w:t xml:space="preserve">Übertragbarkeit: </w:t>
      </w:r>
      <w:r>
        <w:rPr>
          <w:sz w:val="19"/>
        </w:rPr>
        <w:t>Südkorea, Zentrailisierungsproblem relevant für deutsche Flächenländer; Mortalitäts-Distanz-Beziehung übertragbar</w:t>
      </w:r>
    </w:p>
    <w:p>
      <w:r>
        <w:rPr>
          <w:color w:val="5A7D3A"/>
          <w:sz w:val="18"/>
        </w:rPr>
        <w:t>https://pubmed.ncbi.nlm.nih.gov/42676071/</w:t>
      </w:r>
    </w:p>
    <w:p>
      <w:pPr>
        <w:pStyle w:val="Heading2"/>
      </w:pPr>
      <w:r>
        <w:t>Lebensbedrohliche Erkrankungen bei Kindern in Irland: Prävalenz 34,8–50,0 pro 10.000; Datendefizite erfordern sichere ID</w:t>
      </w:r>
    </w:p>
    <w:p>
      <w:r>
        <w:rPr>
          <w:i/>
          <w:color w:val="666666"/>
          <w:sz w:val="18"/>
        </w:rPr>
        <w:t>Smith S et al.  ·  BMC Pediatr  ·  28.07.2026  ·  PMID 42509542</w:t>
      </w:r>
    </w:p>
    <w:p>
      <w:r>
        <w:t>Querschnittsanalyse irischer Spitaldaten 2019 und 2024, um Prävalenz lebensbedrohlicher Zustände bei 0–19-Jährigen unter fehlender eindeutiger Patientenkennung zu schätzen; drei Schätzszenarien mit Sensitivitätsanalysen.</w:t>
      </w:r>
    </w:p>
    <w:p>
      <w:r>
        <w:rPr>
          <w:b/>
        </w:rPr>
        <w:t xml:space="preserve">Ergebnis: </w:t>
      </w:r>
      <w:r>
        <w:t>Baseline-Prävalenz 34,8–50,0 pro 10.000 (2019) und 32,3–44,5 pro 10.000 (2024); mit Adjustierung für Untererfassung: 46,4–66,6 (2019) und 43,0–59,3 pro 10.000 (2024). Höher bei Männern, größte Gruppe &lt;1 Jahr. Schätzungen konsistent mit ähnlich-wohlhabenden Ländern; Methodentransparenz ermöglicht Vergleiche trotz Datenlimitationen.</w:t>
      </w:r>
    </w:p>
    <w:p>
      <w:r>
        <w:rPr>
          <w:b/>
          <w:sz w:val="19"/>
        </w:rPr>
        <w:t xml:space="preserve">Übertragbarkeit: </w:t>
      </w:r>
      <w:r>
        <w:rPr>
          <w:sz w:val="19"/>
        </w:rPr>
        <w:t>Irland, administratives Datensystem ohne eindeutige ID vergleichbar mit Teilen deutscher Krankenhauslandschaft</w:t>
      </w:r>
    </w:p>
    <w:p>
      <w:r>
        <w:rPr>
          <w:color w:val="5A7D3A"/>
          <w:sz w:val="18"/>
        </w:rPr>
        <w:t>https://pubmed.ncbi.nlm.nih.gov/42509542/</w:t>
      </w:r>
    </w:p>
    <w:p>
      <w:pPr>
        <w:pStyle w:val="Heading2"/>
      </w:pPr>
      <w:r>
        <w:t>Sarcoidosis-Trajektorien: Chronische Erkrankung tritt bei 28,5 % auf, mit erhöhtem Infekt- und Depressionsrisiko</w:t>
      </w:r>
    </w:p>
    <w:p>
      <w:r>
        <w:rPr>
          <w:i/>
          <w:color w:val="666666"/>
          <w:sz w:val="18"/>
        </w:rPr>
        <w:t>Rossides M et al.  ·  Respir Res  ·  24.07.2026  ·  PMID 42498935</w:t>
      </w:r>
    </w:p>
    <w:p>
      <w:r>
        <w:t>Prospektive Kohortenstudie mit 9.665 Patienten, die neue Sarcoidose-Diagnosen zwischen 2006 und 2018 im schwedischen Register identifizierte und über fünf Jahre verfolgte; zwei längerfristige Verlaufsmuster wurden mittels statistischer Modellierung der Arztbesuche ermittelt.</w:t>
      </w:r>
    </w:p>
    <w:p>
      <w:r>
        <w:rPr>
          <w:b/>
        </w:rPr>
        <w:t xml:space="preserve">Ergebnis: </w:t>
      </w:r>
      <w:r>
        <w:t>71,5 % zeigten selbstlimitierten Verlauf mit Remission in zwei Jahren, 28,5 % chronischen Verlauf mit persistenten Besuchen; chronisches Sarcoidosis war assoziiert mit: eGFR Krankheit (Hoehn und Yahr ≥ 2 vs. 1), erhöhtem Infektrisiko, Herzinsuffizienz, Diabetes, Depression, Angststörung und früherem Tod. Immunosuppressive Therapie bei Diagnose erhöhte Chronizitätsrisiko um Faktor 2,18 (95%-KI 2,04–2,33).</w:t>
      </w:r>
    </w:p>
    <w:p>
      <w:r>
        <w:rPr>
          <w:b/>
          <w:sz w:val="19"/>
        </w:rPr>
        <w:t xml:space="preserve">Übertragbarkeit: </w:t>
      </w:r>
      <w:r>
        <w:rPr>
          <w:sz w:val="19"/>
        </w:rPr>
        <w:t>Schweden, nationale Patientenregister, vergleichbare Gesundheitssysteme</w:t>
      </w:r>
    </w:p>
    <w:p>
      <w:r>
        <w:rPr>
          <w:color w:val="5A7D3A"/>
          <w:sz w:val="18"/>
        </w:rPr>
        <w:t>https://pubmed.ncbi.nlm.nih.gov/42498935/</w:t>
      </w:r>
    </w:p>
    <w:p>
      <w:pPr>
        <w:pStyle w:val="Heading1"/>
      </w:pPr>
      <w:r>
        <w:t>Aufgenommen am 02.09.2026</w:t>
      </w:r>
    </w:p>
    <w:p>
      <w:pPr>
        <w:pStyle w:val="Heading2"/>
      </w:pPr>
      <w:r>
        <w:t>Albuminoxidation verzögert sich nach Nierentransplantation trotz Funktionsrestitution</w:t>
      </w:r>
    </w:p>
    <w:p>
      <w:r>
        <w:rPr>
          <w:i/>
          <w:color w:val="666666"/>
          <w:sz w:val="18"/>
        </w:rPr>
        <w:t>Berntsen LM et al.  ·  BMC Nephrol  ·  28.08.2026  ·  PMID 42665799</w:t>
      </w:r>
    </w:p>
    <w:p>
      <w:r>
        <w:t>Observationsstudie, die die Albumin-Redoxstatus (ARS) vor und nach Nierentransplantation (KTX) gemessen hat, um zu zeigen, ob die Verbesserung der Nierenfunktion die Oxidation verringert.</w:t>
      </w:r>
    </w:p>
    <w:p>
      <w:r>
        <w:rPr>
          <w:b/>
        </w:rPr>
        <w:t xml:space="preserve">Ergebnis: </w:t>
      </w:r>
      <w:r>
        <w:t>Vor KTX waren HMA-Werte reduziert (Median 63,5%), HNA-1 und HNA-2 erhöht. Eine Woche nach KTX verschlechterte sich HMA weiter (57,9%), HNA-2 stieg auf 9,2%. Trotz rascher Funktionserholung war die ARS-Normalisierung langsam und variabel; 180 Tage post-KTX zeigten 31 % der Patienten noch erhöhte Oxidationssignale, was nahelegt, dass Faktoren jenseits der Nierenfunktion die ARS beeinflussen.</w:t>
      </w:r>
    </w:p>
    <w:p>
      <w:r>
        <w:rPr>
          <w:b/>
          <w:sz w:val="19"/>
        </w:rPr>
        <w:t xml:space="preserve">Übertragbarkeit: </w:t>
      </w:r>
      <w:r>
        <w:rPr>
          <w:sz w:val="19"/>
        </w:rPr>
        <w:t>Deutschland/Österreich, vergleichbare Transplantationsverfahren und -strukturen</w:t>
      </w:r>
    </w:p>
    <w:p>
      <w:r>
        <w:rPr>
          <w:color w:val="5A7D3A"/>
          <w:sz w:val="18"/>
        </w:rPr>
        <w:t>https://pubmed.ncbi.nlm.nih.gov/42665799/</w:t>
      </w:r>
    </w:p>
    <w:p>
      <w:pPr>
        <w:pStyle w:val="Heading2"/>
      </w:pPr>
      <w:r>
        <w:t>Muskelzell-Veränderungen bei Long COVID/ME-CFS unterscheiden sich grundlegend von Bettlägerigkeit</w:t>
      </w:r>
    </w:p>
    <w:p>
      <w:r>
        <w:rPr>
          <w:i/>
          <w:color w:val="666666"/>
          <w:sz w:val="18"/>
        </w:rPr>
        <w:t>Charlton BT et al.  ·  Nat Commun  ·  28.07.2026  ·  PMID 42649155</w:t>
      </w:r>
    </w:p>
    <w:p>
      <w:r>
        <w:t>Vergleichende Myofaser-Analyse nach 60-Tage-Bettruhe bei Gesunden versus Long COVID/ME-CFS-Patienten, um zu zeigen, dass Inaktivität allein nicht die Muskeldefekte erklärt.</w:t>
      </w:r>
    </w:p>
    <w:p>
      <w:r>
        <w:rPr>
          <w:b/>
        </w:rPr>
        <w:t xml:space="preserve">Ergebnis: </w:t>
      </w:r>
      <w:r>
        <w:t>Gesunde zeigen nach Bettruhe Muskelatrophie ohne Fasetyp-Verschiebung; beide Patientengruppen haben mehr glykolytische Fasern und ME/CFS-Patienten zeigen zusätzliche Typ-I-spezifische Atrophie. Nur nach Bettruhe war oxidative Phosphorylierungskapazität mit VO₂max korreliert. Die Muskelmerkmale unterscheiden sich fundamental zwischen Patienten und Bettruhe-Kontrollen, was zeigt, dass Inaktivität nicht die metabolischen Abnormitäten erklärt.</w:t>
      </w:r>
    </w:p>
    <w:p>
      <w:r>
        <w:rPr>
          <w:b/>
          <w:sz w:val="19"/>
        </w:rPr>
        <w:t xml:space="preserve">Übertragbarkeit: </w:t>
      </w:r>
      <w:r>
        <w:rPr>
          <w:sz w:val="19"/>
        </w:rPr>
        <w:t>Niederlande, vergleichbare Versorgungsbedingungen für chronische Erkrankungen</w:t>
      </w:r>
    </w:p>
    <w:p>
      <w:r>
        <w:rPr>
          <w:color w:val="5A7D3A"/>
          <w:sz w:val="18"/>
        </w:rPr>
        <w:t>https://pubmed.ncbi.nlm.nih.gov/42649155/</w:t>
      </w:r>
    </w:p>
    <w:p>
      <w:pPr>
        <w:pStyle w:val="Heading2"/>
      </w:pPr>
      <w:r>
        <w:t>Qualitätsindikatoren für Mehrfacherkrankung in der Hausarztpraxis – Protokoll einer partizipativen Entwicklung</w:t>
      </w:r>
    </w:p>
    <w:p>
      <w:r>
        <w:rPr>
          <w:i/>
          <w:color w:val="666666"/>
          <w:sz w:val="18"/>
        </w:rPr>
        <w:t>Tavares S et al.  ·  JMIR Res Protoc  ·  07.08.2026  ·  PMID 42567680</w:t>
      </w:r>
    </w:p>
    <w:p>
      <w:r>
        <w:t>Protokoll einer modifizierten RAND/UCLA-Studie zur Co-Entwicklung von nicht-diagnose-spezifischen Qualitätsindikatoren für Patienten mit Mehrfacherkrankungen (MLTC) mit Patienten, Angehörigen und Fachpersonen in England.</w:t>
      </w:r>
    </w:p>
    <w:p>
      <w:r>
        <w:rPr>
          <w:b/>
        </w:rPr>
        <w:t xml:space="preserve">Ergebnis: </w:t>
      </w:r>
      <w:r>
        <w:t>10 Patienten/Angehörige und 12 Fachpersonen konsentierten bis Juli 2026; 54 Kandidaten-Indikatoren aus Scoping Review und qualitativen Interviews mit 21 Patienten generiert. RAMStudie mit drei Runden geplant (Completion Anfang 2027). Indikatoren in Struktur-Prozess-Ergebnis-Qualitätsrahmen gemappt. Patient und Public Involvement mit vier Community-Partnern laufend. Ziel: umsetzungsorientiertes, primär-versorgungsgerechtes Indikator-Set für Mehrfacherkrankungen.</w:t>
      </w:r>
    </w:p>
    <w:p>
      <w:r>
        <w:rPr>
          <w:b/>
          <w:sz w:val="19"/>
        </w:rPr>
        <w:t xml:space="preserve">Übertragbarkeit: </w:t>
      </w:r>
      <w:r>
        <w:rPr>
          <w:sz w:val="19"/>
        </w:rPr>
        <w:t>Großbritannien/NHS, vergleichbarer Versorgungsauftrag und Gate-Keeper-Modell</w:t>
      </w:r>
    </w:p>
    <w:p>
      <w:r>
        <w:rPr>
          <w:color w:val="5A7D3A"/>
          <w:sz w:val="18"/>
        </w:rPr>
        <w:t>https://pubmed.ncbi.nlm.nih.gov/42567680/</w:t>
      </w:r>
    </w:p>
    <w:p>
      <w:pPr>
        <w:pStyle w:val="Heading2"/>
      </w:pPr>
      <w:r>
        <w:t>Migranten-Jugendliche zeigen hohe Mehrfacherkrankung; unbegleitete haben 4-fach erhöhtes Trauma-Risiko</w:t>
      </w:r>
    </w:p>
    <w:p>
      <w:r>
        <w:rPr>
          <w:i/>
          <w:color w:val="666666"/>
          <w:sz w:val="18"/>
        </w:rPr>
        <w:t>Ngom L et al.  ·  J Adolesc Health  ·  04.08.2026  ·  PMID 42554533</w:t>
      </w:r>
    </w:p>
    <w:p>
      <w:r>
        <w:t>Observationskohort von 384 Migranten-Jugendlichen (10–17 J., Ankunft &lt;5 Jahre) in Marseille 2019–2024, die multimorbidität (CIRS) und psychisches Trauma-Risiko (Protect) misst.</w:t>
      </w:r>
    </w:p>
    <w:p>
      <w:r>
        <w:rPr>
          <w:b/>
        </w:rPr>
        <w:t xml:space="preserve">Ergebnis: </w:t>
      </w:r>
      <w:r>
        <w:t>Mittleres CIRS 3,98; 35,4 % hatten ≥3 Organ-System-Beeinträchtigungen. Häufigste: HNO/Zähne (48,7%), Muskel-Skelett (46,4%), psychische Störungen (25,3%). Multimorbidität assoziiert mit chronischer Vorgeschichte vor Migration (adj. OR 1,40; p&lt;0,0005) und während Migration (adj. OR 1,94; p=0,005). Trauma-Risiko erhöht bei unbegleiteten Jugendlichen (adj. OR 4,27; p&lt;0,05) und höherer physischer Morbidität (OR 1,18; p&lt;0,05). ED-Besuche sanken während und nach Versorgung im Unit. Vulnerable Population erfordert umfassenden Versorgungspfad.</w:t>
      </w:r>
    </w:p>
    <w:p>
      <w:r>
        <w:rPr>
          <w:b/>
          <w:sz w:val="19"/>
        </w:rPr>
        <w:t xml:space="preserve">Übertragbarkeit: </w:t>
      </w:r>
      <w:r>
        <w:rPr>
          <w:sz w:val="19"/>
        </w:rPr>
        <w:t>Frankreich, vergleichbare EU-Versorgungsstruktur; Übertragbarkeit hängt an kultursensibler Ausgestaltung</w:t>
      </w:r>
    </w:p>
    <w:p>
      <w:r>
        <w:rPr>
          <w:color w:val="5A7D3A"/>
          <w:sz w:val="18"/>
        </w:rPr>
        <w:t>https://pubmed.ncbi.nlm.nih.gov/42554533/</w:t>
      </w:r>
    </w:p>
    <w:p>
      <w:pPr>
        <w:pStyle w:val="Heading2"/>
      </w:pPr>
      <w:r>
        <w:t>Aktualisierte CIDP-Leitlinie (2021) zeigt höhere Spezifität, aber niedrigere Sensitivität</w:t>
      </w:r>
    </w:p>
    <w:p>
      <w:r>
        <w:rPr>
          <w:i/>
          <w:color w:val="666666"/>
          <w:sz w:val="18"/>
        </w:rPr>
        <w:t>van Doorn IN et al.  ·  Eur J Neurol  ·  Aug. 2026  ·  PMID 42549490</w:t>
      </w:r>
    </w:p>
    <w:p>
      <w:r>
        <w:t>Vergleich der diagnostischen Genauigkeit der 2010 EFNS/PNS und der 2021 EAN/PNS Richtlinien für CIDP anhand von 339 Patienten und 339 Kontrollen mit vermuteter chronischer Neuropathie.</w:t>
      </w:r>
    </w:p>
    <w:p>
      <w:r>
        <w:rPr>
          <w:b/>
        </w:rPr>
        <w:t xml:space="preserve">Ergebnis: </w:t>
      </w:r>
      <w:r>
        <w:t>Die 2010-Richtlinie erzielte 92 % Sensitivität und 67 % Spezifität (möglich CIDP) bzw. 91 % und 78 % (wahrscheinlich/definit). Die 2021-Richtlinie zeigte 94 % Sensitivität und 66 % Spezifität (möglich) bzw. 83 % und 86 % (CIDP). Unterschiede entstanden durch geänderte Sensory-Kriterien und Leitfähigkeits-Schwellwerte. Unilaterale NCS hätte 77 mögliche CIDP-Diagnosen übersehen.</w:t>
      </w:r>
    </w:p>
    <w:p>
      <w:r>
        <w:rPr>
          <w:b/>
          <w:sz w:val="19"/>
        </w:rPr>
        <w:t xml:space="preserve">Übertragbarkeit: </w:t>
      </w:r>
      <w:r>
        <w:rPr>
          <w:sz w:val="19"/>
        </w:rPr>
        <w:t>Niederlande, europäische Versorgungsstandards und Leitlinienimplement ierung</w:t>
      </w:r>
    </w:p>
    <w:p>
      <w:r>
        <w:rPr>
          <w:color w:val="5A7D3A"/>
          <w:sz w:val="18"/>
        </w:rPr>
        <w:t>https://pubmed.ncbi.nlm.nih.gov/42549490/</w:t>
      </w:r>
    </w:p>
    <w:p>
      <w:pPr>
        <w:pStyle w:val="Heading2"/>
      </w:pPr>
      <w:r>
        <w:t>HDV-Infektionen schwächen Lebensqualität und Fatigue mit Krankheitsprogress massiv</w:t>
      </w:r>
    </w:p>
    <w:p>
      <w:r>
        <w:rPr>
          <w:i/>
          <w:color w:val="666666"/>
          <w:sz w:val="18"/>
        </w:rPr>
        <w:t>Lampertico P et al.  ·  J Viral Hepat  ·  Sept. 2026  ·  PMID 42538645</w:t>
      </w:r>
    </w:p>
    <w:p>
      <w:r>
        <w:t>Internationale Real-World-Querschnittstudie (Deutschland, Italien, Spanien, USA) zu Lebensqualität (EQ-5D-3L, HepQoL v2) und Fatigue (FSS) in verschiedenen HDV-Erkrankungsstadien bei 211 Patienten.</w:t>
      </w:r>
    </w:p>
    <w:p>
      <w:r>
        <w:rPr>
          <w:b/>
        </w:rPr>
        <w:t xml:space="preserve">Ergebnis: </w:t>
      </w:r>
      <w:r>
        <w:t>EQ-5D-VAS-Scores sanken mit höherer Krankheitsschwere signifikant (p&lt;0,0001): von kompensiert zu dekompensiert zu HCC zeigte kontinuierliche Verschlechterung. Alle HepQoL-Domänen verschlechterten sich mit Progression (p≤0,0001). Mittlere FSS-Scores stiegen mit Krankheitsschwere (p&lt;0,0001). HDV belastet Patienten massiv, besonders in fortgeschrittenen Stadien; Therapien zur Krankheitsverzögerung sind dringend erforderlich.</w:t>
      </w:r>
    </w:p>
    <w:p>
      <w:r>
        <w:rPr>
          <w:b/>
          <w:sz w:val="19"/>
        </w:rPr>
        <w:t xml:space="preserve">Übertragbarkeit: </w:t>
      </w:r>
      <w:r>
        <w:rPr>
          <w:sz w:val="19"/>
        </w:rPr>
        <w:t>Deutschland/Italien/Spanien, vergleichbare Sozialversicherungssysteme und Versorgungsstrukturen</w:t>
      </w:r>
    </w:p>
    <w:p>
      <w:r>
        <w:rPr>
          <w:color w:val="5A7D3A"/>
          <w:sz w:val="18"/>
        </w:rPr>
        <w:t>https://pubmed.ncbi.nlm.nih.gov/42538645/</w:t>
      </w:r>
    </w:p>
    <w:p>
      <w:pPr>
        <w:pStyle w:val="Heading1"/>
      </w:pPr>
      <w:r>
        <w:t>Aufgenommen am 01.09.2026</w:t>
      </w:r>
    </w:p>
    <w:p>
      <w:pPr>
        <w:pStyle w:val="Heading2"/>
      </w:pPr>
      <w:r>
        <w:t>ICS/LAMA/LABA senkte kardiovaskuläre Ereignisse bei COPD um 52 % gegenüber LAMA/LABA</w:t>
      </w:r>
    </w:p>
    <w:p>
      <w:r>
        <w:rPr>
          <w:i/>
          <w:color w:val="666666"/>
          <w:sz w:val="18"/>
        </w:rPr>
        <w:t>Wang YQ et al.  ·  Int J Chron Obstruct Pulmon Dis  ·  26.08.2026  ·  PMID 42670477</w:t>
      </w:r>
    </w:p>
    <w:p>
      <w:r>
        <w:t>Retrospektive Kohortenstudie mit deutschen Krankenkassendaten untersuchte, ob Triple-Therapie (ICS/LAMA/LABA) gegenüber Doppel-Therapie (LAMA/LABA) bei COPD-Patienten major adverse cardiovascular events (MACEs) reduziert.</w:t>
      </w:r>
    </w:p>
    <w:p>
      <w:r>
        <w:rPr>
          <w:b/>
        </w:rPr>
        <w:t xml:space="preserve">Ergebnis: </w:t>
      </w:r>
      <w:r>
        <w:t>Über 20,5 Monate: 102 MACEs insgesamt (19,2 %); LAMA/LABA 22 % vs. ICS/LAMA/LABA 17 % (adjustierte HR 0,481; 95%-KI 0,302–0,766; p=0,002). Bei hohem kardiovaskulärem Risiko war die Risikoreduktion noch stärker (HR 0,435; p&lt;0,001). Das Ergebnis unterstreicht den kardioprotektiven Zusatzeffekt von ICS in der Erhaltungstherapie.</w:t>
      </w:r>
    </w:p>
    <w:p>
      <w:r>
        <w:rPr>
          <w:b/>
          <w:sz w:val="19"/>
        </w:rPr>
        <w:t xml:space="preserve">Übertragbarkeit: </w:t>
      </w:r>
      <w:r>
        <w:rPr>
          <w:sz w:val="19"/>
        </w:rPr>
        <w:t>Deutsche Routinedaten, Versicherungssystem und COPD-Patient:innen vergleichbar mit Gesundheitssystem</w:t>
      </w:r>
    </w:p>
    <w:p>
      <w:r>
        <w:rPr>
          <w:color w:val="5A7D3A"/>
          <w:sz w:val="18"/>
        </w:rPr>
        <w:t>https://pubmed.ncbi.nlm.nih.gov/42670477/</w:t>
      </w:r>
    </w:p>
    <w:p>
      <w:pPr>
        <w:pStyle w:val="Heading2"/>
      </w:pPr>
      <w:r>
        <w:t>GLP-1-Rezeptoragonisten senken kardiovaskuläre Ereignisse bei Dialysepatienten mit Herzinsuffizienz um 28 %</w:t>
      </w:r>
    </w:p>
    <w:p>
      <w:r>
        <w:rPr>
          <w:i/>
          <w:color w:val="666666"/>
          <w:sz w:val="18"/>
        </w:rPr>
        <w:t>Liu PY et al.  ·  Nat Commun  ·  30.07.2026  ·  PMID 42669711</w:t>
      </w:r>
    </w:p>
    <w:p>
      <w:r>
        <w:t>Emulierte Zielstudie mit US-amerikanischem elektronischem Gesundheitsaktenverbund (TriNetX) verglich GLP-1-Rezeptoragonisten (GLP-1RA) versus DPP-4-Inhibitoren (DPP-4i) bei dialysepflichtigen Diabetespatienten mit Herzinsuffizienz hinsichtlich ischämischer kardiovaskulärer Ereignisse und Herzinsuffizienzexazerbationen.</w:t>
      </w:r>
    </w:p>
    <w:p>
      <w:r>
        <w:rPr>
          <w:b/>
        </w:rPr>
        <w:t xml:space="preserve">Ergebnis: </w:t>
      </w:r>
      <w:r>
        <w:t>GLP-1RA vs. DPP-4i: Primärer kombinierter Outcome (ischämische Events + HF-Exazerbationen) 31,7 % vs. 41,4 % (HR 0,72; 95%-KI 0,64–0,82; p&lt;0,0001). Konsistente Reduktionen bei ischämischen Events (HR 0,74), HF-Exazerbationen (HR 0,76), Gesamtmortalität (HR 0,68). Ergebnis in Sensitivitätsanalysen und Subgruppen stabil.</w:t>
      </w:r>
    </w:p>
    <w:p>
      <w:r>
        <w:rPr>
          <w:b/>
          <w:sz w:val="19"/>
        </w:rPr>
        <w:t xml:space="preserve">Übertragbarkeit: </w:t>
      </w:r>
      <w:r>
        <w:rPr>
          <w:sz w:val="19"/>
        </w:rPr>
        <w:t>USA-Daten aus elektronischen Akten; Übertragbarkeit auf Deutschland begrenzt durch andere Versorgungsstrukturen</w:t>
      </w:r>
    </w:p>
    <w:p>
      <w:r>
        <w:rPr>
          <w:color w:val="5A7D3A"/>
          <w:sz w:val="18"/>
        </w:rPr>
        <w:t>https://pubmed.ncbi.nlm.nih.gov/42669711/</w:t>
      </w:r>
    </w:p>
    <w:p>
      <w:pPr>
        <w:pStyle w:val="Heading2"/>
      </w:pPr>
      <w:r>
        <w:t>FGF-23 als Prognosemarker für CKD-Progression und kardiovaskuläre Ereignisse validiert</w:t>
      </w:r>
    </w:p>
    <w:p>
      <w:r>
        <w:rPr>
          <w:i/>
          <w:color w:val="666666"/>
          <w:sz w:val="18"/>
        </w:rPr>
        <w:t>Hsu JW et al.  ·  PeerJ  ·  24.08.2026  ·  PMID 42668972</w:t>
      </w:r>
    </w:p>
    <w:p>
      <w:r>
        <w:t>Systematische Übersichtsarbeit und Metaanalyse von 12 prospektiven Kohortenstudien (21.042 Patienten mit CKD Stadium 1–5) untersuchte die Vorhersagekraft von Fibroblast-Growth-Factor-23 (FGF-23) für Nierenfunktionsverschlechterung, Nierenversagen, kardiovaskuläre Ereignisse und Sterblichkeit.</w:t>
      </w:r>
    </w:p>
    <w:p>
      <w:r>
        <w:rPr>
          <w:b/>
        </w:rPr>
        <w:t xml:space="preserve">Ergebnis: </w:t>
      </w:r>
      <w:r>
        <w:t>Erhöhte FGF-23-Spiegel assoziiert mit eGFR-Rückgang (Mittelwertdifferenz −17,83 mL/min/1,73m²). Bei leichter bis mittelschwerer CKD: Jede 10 RU/mL FGF-23-Steigerung erhöhte Nierenversagensrisiko um 1,7 % (HR 1,01; 95%-KI 1,01–1,02). Bei fortgeschrittener CKD (höchstes vs. niedrigstes Quartil): 2,32-fach erhöhtes Nierenversagensrisiko (95%-KI 1,80–2,98). Kardiovaskuläre Events (HR 1,72), Herzinsuffizienz (HR 2,14), Gesamtmortalität (HR 1,61) signifikant erhöht.</w:t>
      </w:r>
    </w:p>
    <w:p>
      <w:r>
        <w:rPr>
          <w:b/>
          <w:sz w:val="19"/>
        </w:rPr>
        <w:t xml:space="preserve">Übertragbarkeit: </w:t>
      </w:r>
      <w:r>
        <w:rPr>
          <w:sz w:val="19"/>
        </w:rPr>
        <w:t>Metaanalyse mit internationalen Studien; Biomarker-Stratifizierung ist international anwendbar</w:t>
      </w:r>
    </w:p>
    <w:p>
      <w:r>
        <w:rPr>
          <w:color w:val="5A7D3A"/>
          <w:sz w:val="18"/>
        </w:rPr>
        <w:t>https://pubmed.ncbi.nlm.nih.gov/42668972/</w:t>
      </w:r>
    </w:p>
    <w:p>
      <w:pPr>
        <w:pStyle w:val="Heading2"/>
      </w:pPr>
      <w:r>
        <w:t>Bessere Schlafqualität assoziiert mit 36 % weniger Müdigkeit bei Hämodialysepatienten</w:t>
      </w:r>
    </w:p>
    <w:p>
      <w:r>
        <w:rPr>
          <w:i/>
          <w:color w:val="666666"/>
          <w:sz w:val="18"/>
        </w:rPr>
        <w:t>Chen G et al.  ·  Sleep Breath  ·  29.08.2026  ·  PMID 42667469</w:t>
      </w:r>
    </w:p>
    <w:p>
      <w:r>
        <w:t>Querschnittstudie bei 249 Hämodialysepatienten in China untersuchte die Assoziation multidimensionaler Schlafgesundheit (RU_SATED 2.0) mit Müdigkeit (Fatigue Scale-14) unter Adjustierung für Alter, Lebensstil und laborchemische Marker.</w:t>
      </w:r>
    </w:p>
    <w:p>
      <w:r>
        <w:rPr>
          <w:b/>
        </w:rPr>
        <w:t xml:space="preserve">Ergebnis: </w:t>
      </w:r>
      <w:r>
        <w:t>Multidimensionale Schlafgesundheit signifikant assoziiert mit Gesamtmüdigkeit (B = −0,36; 95%-KI −0,50 bis −0,21; p&lt;0,001), körperliche Müdigkeit (B = −0,22; p&lt;0,001), mentale Müdigkeit (B = −0,13; p&lt;0,001). Altersmoderation signifikant (B = 0,02; p=0,017). Bessere Schlafgesundheit war mit niedrigeren Müdigkeitswerten assoziiert; älter Patienten zeigten schwächere Assoziationen.</w:t>
      </w:r>
    </w:p>
    <w:p>
      <w:r>
        <w:rPr>
          <w:b/>
          <w:sz w:val="19"/>
        </w:rPr>
        <w:t xml:space="preserve">Übertragbarkeit: </w:t>
      </w:r>
      <w:r>
        <w:rPr>
          <w:sz w:val="19"/>
        </w:rPr>
        <w:t>China-Daten; Schlaf-Müdigkeit-Assoziation dialysepflicht-spezifisch, international relevant für Patient:innen-zentierte Ergebnisse</w:t>
      </w:r>
    </w:p>
    <w:p>
      <w:r>
        <w:rPr>
          <w:color w:val="5A7D3A"/>
          <w:sz w:val="18"/>
        </w:rPr>
        <w:t>https://pubmed.ncbi.nlm.nih.gov/42667469/</w:t>
      </w:r>
    </w:p>
    <w:p>
      <w:pPr>
        <w:pStyle w:val="Heading2"/>
      </w:pPr>
      <w:r>
        <w:t>Pharmakogenetisches Tacrolimus-Dosierungsmanagement bei Nierenhochrisikopatienten im Spanienverfügbar (TRANSPGx-Studie)</w:t>
      </w:r>
    </w:p>
    <w:p>
      <w:r>
        <w:rPr>
          <w:i/>
          <w:color w:val="666666"/>
          <w:sz w:val="18"/>
        </w:rPr>
        <w:t>Seco-Meseguer E et al.  ·  BMJ Open  ·  03.08.2026  ·  PMID 42547238</w:t>
      </w:r>
    </w:p>
    <w:p>
      <w:r>
        <w:t>Multizentrisches, adaptives Phase-IV-Protokoll in Spanien prüft, ob präemptive Genotypisierung für Tacrolimus-Dosierung versus Standardversorgung bei Patienten mit chronischer Nierenerkrankung vor Nierentransplantation die Erreichung von Tacrolimus-Zielplasmakonzentrationen verbessert.</w:t>
      </w:r>
    </w:p>
    <w:p>
      <w:r>
        <w:rPr>
          <w:b/>
        </w:rPr>
        <w:t xml:space="preserve">Ergebnis: </w:t>
      </w:r>
      <w:r>
        <w:t>Laufendes RCT mit Zielgröße 114 Patienten; Primärer Endpunkt: Erreichen von Tacrolimus-Zielkonzentrationen nach Transplantation. Rekrutierung geplant über 12 Monate mit 6-monatiger Nachverfolgung. Studie ist ethisch genehmigt (La Paz 2024.740) und registriert (EU CT 2024-516596-32-00).</w:t>
      </w:r>
    </w:p>
    <w:p>
      <w:r>
        <w:rPr>
          <w:b/>
          <w:sz w:val="19"/>
        </w:rPr>
        <w:t xml:space="preserve">Übertragbarkeit: </w:t>
      </w:r>
      <w:r>
        <w:rPr>
          <w:sz w:val="19"/>
        </w:rPr>
        <w:t>Spanisches Gesundheitssystem, vergleichbar mit Deutschland in Koordination und sozialer Krankenversicherung</w:t>
      </w:r>
    </w:p>
    <w:p>
      <w:r>
        <w:rPr>
          <w:color w:val="5A7D3A"/>
          <w:sz w:val="18"/>
        </w:rPr>
        <w:t>https://pubmed.ncbi.nlm.nih.gov/42547238/</w:t>
      </w:r>
    </w:p>
    <w:p>
      <w:pPr>
        <w:pStyle w:val="Heading2"/>
      </w:pPr>
      <w:r>
        <w:t>ME/CFS zeigt geschlechtsspezifische Unterschiede in Immun- und Darmsymptomen, Menopause moduliert Immunantwort</w:t>
      </w:r>
    </w:p>
    <w:p>
      <w:r>
        <w:rPr>
          <w:i/>
          <w:color w:val="666666"/>
          <w:sz w:val="18"/>
        </w:rPr>
        <w:t>Habermann-Horstmeier L et al.  ·  J Transl Med  ·  27.07.2026  ·  PMID 42522006</w:t>
      </w:r>
    </w:p>
    <w:p>
      <w:r>
        <w:t>Querschnittsstudie mit 748 Erwachsenen (608 Frauen, 137 Männer) mit medizinischer ME/CFS-Diagnose untersuchte mittels Faktorenanalyse und Strukturgleichungsmodellierung die Latentstruktur von Immun- und Darmsymptomen nach Geschlecht und Menopausenstatus.</w:t>
      </w:r>
    </w:p>
    <w:p>
      <w:r>
        <w:rPr>
          <w:b/>
        </w:rPr>
        <w:t xml:space="preserve">Ergebnis: </w:t>
      </w:r>
      <w:r>
        <w:t>Frauen: Immun- und Darmsymptome bilden zwei distinkte aber korrelierte Cluster (tetrachorische ρ = 0,47–0,60), EFA unterstützt Zwei-Faktor-Lösung. Männer: Alle vier Symptome laden auf einen integrierten Gut/Immun-Faktor (ρ = 0,43–0,68; one-factor-Modell CFI = 0,981, RMSEA = 0,074). Frauen: Prämenopausale berichten häufiger Grippesymptome als postmenopausale (Unterschied signifikant); Darmsymptome und Lebensmittelintoleranzen bleiben stabil. Empfinden von Infektionsanfälligkeit dominantester Prädiktor.</w:t>
      </w:r>
    </w:p>
    <w:p>
      <w:r>
        <w:rPr>
          <w:b/>
          <w:sz w:val="19"/>
        </w:rPr>
        <w:t xml:space="preserve">Übertragbarkeit: </w:t>
      </w:r>
      <w:r>
        <w:rPr>
          <w:sz w:val="19"/>
        </w:rPr>
        <w:t>Deutsche und internationale Patient:innen; Geschlechtsabhängige Phänotypisierung relevant für ME/CFS-Management</w:t>
      </w:r>
    </w:p>
    <w:p>
      <w:r>
        <w:rPr>
          <w:color w:val="5A7D3A"/>
          <w:sz w:val="18"/>
        </w:rPr>
        <w:t>https://pubmed.ncbi.nlm.nih.gov/42522006/</w:t>
      </w:r>
    </w:p>
    <w:p>
      <w:pPr>
        <w:pStyle w:val="Heading1"/>
      </w:pPr>
      <w:r>
        <w:t>Aufgenommen am 31.08.2026</w:t>
      </w:r>
    </w:p>
    <w:p>
      <w:pPr>
        <w:pStyle w:val="Heading2"/>
      </w:pPr>
      <w:r>
        <w:t>Inhalationstechnik bei COPD: 96% der Patienten könnten DPIs nutzen</w:t>
      </w:r>
    </w:p>
    <w:p>
      <w:r>
        <w:rPr>
          <w:i/>
          <w:color w:val="666666"/>
          <w:sz w:val="18"/>
        </w:rPr>
        <w:t>Bravo Quiroga L et al.  ·  Int J Chron Obstruct Pulmon Dis  ·  25.08.2026  ·  PMID 42668822</w:t>
      </w:r>
    </w:p>
    <w:p>
      <w:r>
        <w:t>Querschnittstudie an 273 stabilen COPD-Patienten mit pMDI+Spacer in 70 spanischen Zentren zur Messung der Inspirationskraft und Eignung für Pulvertrockner.</w:t>
      </w:r>
    </w:p>
    <w:p>
      <w:r>
        <w:rPr>
          <w:b/>
        </w:rPr>
        <w:t xml:space="preserve">Ergebnis: </w:t>
      </w:r>
      <w:r>
        <w:t>96% erreichten PIF ≥30 L/min bei mittlerer-hoher Resistance, 61,9% ≥60 L/min. Unvollständige Exhalation hatte nur begrenzte Auswirkungen. Spacer-Verschreibung erfolgte selten auf Basis objektiver PIF-Messung.</w:t>
      </w:r>
    </w:p>
    <w:p>
      <w:r>
        <w:rPr>
          <w:b/>
          <w:sz w:val="19"/>
        </w:rPr>
        <w:t xml:space="preserve">Übertragbarkeit: </w:t>
      </w:r>
      <w:r>
        <w:rPr>
          <w:sz w:val="19"/>
        </w:rPr>
        <w:t>Spanien, vergleichbares Gesundheitssystem, direkt anwendbar für deutsche COPD-Versorgung.</w:t>
      </w:r>
    </w:p>
    <w:p>
      <w:r>
        <w:rPr>
          <w:color w:val="5A7D3A"/>
          <w:sz w:val="18"/>
        </w:rPr>
        <w:t>https://pubmed.ncbi.nlm.nih.gov/42668822/</w:t>
      </w:r>
    </w:p>
    <w:p>
      <w:pPr>
        <w:pStyle w:val="Heading2"/>
      </w:pPr>
      <w:r>
        <w:t>Soziales Kapital und Selbstwirksamkeit verbessern Lebensqualität älterer chronisch Kranker</w:t>
      </w:r>
    </w:p>
    <w:p>
      <w:r>
        <w:rPr>
          <w:i/>
          <w:color w:val="666666"/>
          <w:sz w:val="18"/>
        </w:rPr>
        <w:t>Wang Y et al.  ·  Front Public Health  ·  21.08.2026  ·  PMID 42666637</w:t>
      </w:r>
    </w:p>
    <w:p>
      <w:r>
        <w:t>Latente Profilanalyse an 425 ländlichen älteren Erwachsenen mit chronischen Erkrankungen (Ningxia, China) zu Effekt von Sozialkapital auf Lebensqualität via Selbstwirksamkeit.</w:t>
      </w:r>
    </w:p>
    <w:p>
      <w:r>
        <w:rPr>
          <w:b/>
        </w:rPr>
        <w:t xml:space="preserve">Ergebnis: </w:t>
      </w:r>
      <w:r>
        <w:t>Drei Profile: niedrig (29,9%), moderat (49,4%), hoch (20,7%). Lebensqualität und Selbstwirksamkeit unterschieden sich signifikant (p&lt;0,001). Indirekter Effekt via Selbstwirksamkeit nur im hohen Profil signifikant (21,2% des Gesamteffekts), nicht im moderaten.</w:t>
      </w:r>
    </w:p>
    <w:p>
      <w:r>
        <w:rPr>
          <w:b/>
          <w:sz w:val="19"/>
        </w:rPr>
        <w:t xml:space="preserve">Übertragbarkeit: </w:t>
      </w:r>
      <w:r>
        <w:rPr>
          <w:sz w:val="19"/>
        </w:rPr>
        <w:t>China, aber Mehrfacherkrankung und psycho-soziale Mechanismen generalisierbar auf deutsche vulnerable Populationen.</w:t>
      </w:r>
    </w:p>
    <w:p>
      <w:r>
        <w:rPr>
          <w:color w:val="5A7D3A"/>
          <w:sz w:val="18"/>
        </w:rPr>
        <w:t>https://pubmed.ncbi.nlm.nih.gov/42666637/</w:t>
      </w:r>
    </w:p>
    <w:p>
      <w:pPr>
        <w:pStyle w:val="Heading2"/>
      </w:pPr>
      <w:r>
        <w:t>Kombinierte Inflammations- und Adipositäts-Indizes zeigen erhöhtes Multimorbidität-Risiko</w:t>
      </w:r>
    </w:p>
    <w:p>
      <w:r>
        <w:rPr>
          <w:i/>
          <w:color w:val="666666"/>
          <w:sz w:val="18"/>
        </w:rPr>
        <w:t>Chen J et al.  ·  Cardiovasc Diabetol  ·  26.08.2026  ·  PMID 42665793</w:t>
      </w:r>
    </w:p>
    <w:p>
      <w:r>
        <w:t>Prospektive Kohorte (n=6534, China Health and Retirement Longitudinal Study) zu Assoziation von CTI-Adipositäts-Indizes mit kardiovaskulär-hepatischen-metabolischen Multimorbidität über 4 Jahre.</w:t>
      </w:r>
    </w:p>
    <w:p>
      <w:r>
        <w:rPr>
          <w:b/>
        </w:rPr>
        <w:t xml:space="preserve">Ergebnis: </w:t>
      </w:r>
      <w:r>
        <w:t>CTI-BMI zeigte stärkste Assoziation (OR 3,46 in Quartil 4, p&lt;0,001), aber nur modest Diskriminationsfähigkeit (AUC 0,638). Effekt modifiziert durch Geschlecht und Raucherstatus, keine signifikante Interaktion zwischen CTI und BMI.</w:t>
      </w:r>
    </w:p>
    <w:p>
      <w:r>
        <w:rPr>
          <w:b/>
          <w:sz w:val="19"/>
        </w:rPr>
        <w:t xml:space="preserve">Übertragbarkeit: </w:t>
      </w:r>
      <w:r>
        <w:rPr>
          <w:sz w:val="19"/>
        </w:rPr>
        <w:t>China, aber Multimorbidität-Fokus und Methodologie relevant für deutsches Versorgungssetting mit mehreren Erkrankungen.</w:t>
      </w:r>
    </w:p>
    <w:p>
      <w:r>
        <w:rPr>
          <w:color w:val="5A7D3A"/>
          <w:sz w:val="18"/>
        </w:rPr>
        <w:t>https://pubmed.ncbi.nlm.nih.gov/42665793/</w:t>
      </w:r>
    </w:p>
    <w:p>
      <w:pPr>
        <w:pStyle w:val="Heading2"/>
      </w:pPr>
      <w:r>
        <w:t>CKD-assoziierter Pruritus bei 60,3% der Dialysepatienten, wenig Behandlung</w:t>
      </w:r>
    </w:p>
    <w:p>
      <w:r>
        <w:rPr>
          <w:i/>
          <w:color w:val="666666"/>
          <w:sz w:val="18"/>
        </w:rPr>
        <w:t>Yao X et al.  ·  Ren Fail  ·  27.08.2026  ·  PMID 42661327</w:t>
      </w:r>
    </w:p>
    <w:p>
      <w:r>
        <w:t>Multizentrisches Cross-sectional-Screening an 9.589 chinesischen Dialysepatienten (Mai–Dezember 2022) zur Prävalenz und Risikofaktoren von CKD-Pruritus.</w:t>
      </w:r>
    </w:p>
    <w:p>
      <w:r>
        <w:rPr>
          <w:b/>
        </w:rPr>
        <w:t xml:space="preserve">Ergebnis: </w:t>
      </w:r>
      <w:r>
        <w:t>Pruritus-Prävalenz 60,3% (mild 44,4%, moderat 12,5%, schwer 3,3%), HD vs. PD ähnlich (59,9% vs. 61,8%). Nur 2,9% erhielten potenziell wirksame Therapie (Gabapentinoide 2,8%). Assoziierte Faktoren: Rauchen, diabetische Nephropathie, kardiovaskuläre Erkrankung, Dialysedauer, Eosinophile, Kalzium, Phosphor.</w:t>
      </w:r>
    </w:p>
    <w:p>
      <w:r>
        <w:rPr>
          <w:b/>
          <w:sz w:val="19"/>
        </w:rPr>
        <w:t xml:space="preserve">Übertragbarkeit: </w:t>
      </w:r>
      <w:r>
        <w:rPr>
          <w:sz w:val="19"/>
        </w:rPr>
        <w:t>China, aber großes Problem auch in Deutschland; Versorgungsqualität und Symptommanagement messbar.</w:t>
      </w:r>
    </w:p>
    <w:p>
      <w:r>
        <w:rPr>
          <w:color w:val="5A7D3A"/>
          <w:sz w:val="18"/>
        </w:rPr>
        <w:t>https://pubmed.ncbi.nlm.nih.gov/42661327/</w:t>
      </w:r>
    </w:p>
    <w:p>
      <w:pPr>
        <w:pStyle w:val="Heading2"/>
      </w:pPr>
      <w:r>
        <w:t>Rauchen vor Alter 24 verdoppelt COPD-Risiko und Multimorbidität</w:t>
      </w:r>
    </w:p>
    <w:p>
      <w:r>
        <w:rPr>
          <w:i/>
          <w:color w:val="666666"/>
          <w:sz w:val="18"/>
        </w:rPr>
        <w:t>Liu Z et al.  ·  J Glob Health  ·  28.08.2026  ·  PMID 42659031</w:t>
      </w:r>
    </w:p>
    <w:p>
      <w:r>
        <w:t>Analyse von 15.077 US-Teilnehmern und zwei UK Biobank-Kohorten (n=258.380) zu Effekt des Rauchbeginns während Alveolus-Reifung (≤24 Jahre) auf Cardiopulmonal-Erkrankung.</w:t>
      </w:r>
    </w:p>
    <w:p>
      <w:r>
        <w:rPr>
          <w:b/>
        </w:rPr>
        <w:t xml:space="preserve">Ergebnis: </w:t>
      </w:r>
      <w:r>
        <w:t>Frühe Raucher mit hohem Konsum: COPD HR 3,45 (95% KI 3,29–3,62) vs. spät Raucher 2,33 (1,91–2,83, p&lt;0,001). Multimorbidität-freie Wahrscheinlichkeit 0,55 vs. 0,65. Rauchentwöhnung zeigte stärkere relative Risikoreduktion bei frühen Rauchern.</w:t>
      </w:r>
    </w:p>
    <w:p>
      <w:r>
        <w:rPr>
          <w:b/>
          <w:sz w:val="19"/>
        </w:rPr>
        <w:t xml:space="preserve">Übertragbarkeit: </w:t>
      </w:r>
      <w:r>
        <w:rPr>
          <w:sz w:val="19"/>
        </w:rPr>
        <w:t>USA und UK, Präventions-fokussiert; Altersabhängigkeit relevant für deutsches Screening und Aufklärung.</w:t>
      </w:r>
    </w:p>
    <w:p>
      <w:r>
        <w:rPr>
          <w:color w:val="5A7D3A"/>
          <w:sz w:val="18"/>
        </w:rPr>
        <w:t>https://pubmed.ncbi.nlm.nih.gov/42659031/</w:t>
      </w:r>
    </w:p>
    <w:p>
      <w:pPr>
        <w:pStyle w:val="Heading2"/>
      </w:pPr>
      <w:r>
        <w:t>Neue Risikogene für Emphysem in Rauchern identifiziert</w:t>
      </w:r>
    </w:p>
    <w:p>
      <w:r>
        <w:rPr>
          <w:i/>
          <w:color w:val="666666"/>
          <w:sz w:val="18"/>
        </w:rPr>
        <w:t>Nyberg F et al.  ·  Respir Res  ·  08.08.2026  ·  PMID 42634071</w:t>
      </w:r>
    </w:p>
    <w:p>
      <w:r>
        <w:t>Genomweite Assoziationsstudie an 25.639 schwedischen Erwachsenen zur Identifikation genetischer Faktoren für Emphysem.</w:t>
      </w:r>
    </w:p>
    <w:p>
      <w:r>
        <w:rPr>
          <w:b/>
        </w:rPr>
        <w:t xml:space="preserve">Ergebnis: </w:t>
      </w:r>
      <w:r>
        <w:t>Bei Rauchern wurden drei unabhängige genetische Loci identifiziert (CHRNA5-A3-B4, DYSF, Chromosom 3), bei Nichtrauchern trotz großer Stichprobe keine Signale (niedriges Emphysemprävalenz 2,0% vs. 18,2% bei aktiven Rauchern).</w:t>
      </w:r>
    </w:p>
    <w:p>
      <w:r>
        <w:rPr>
          <w:b/>
          <w:sz w:val="19"/>
        </w:rPr>
        <w:t xml:space="preserve">Übertragbarkeit: </w:t>
      </w:r>
      <w:r>
        <w:rPr>
          <w:sz w:val="19"/>
        </w:rPr>
        <w:t>Schweden, populationsbasierte Studie, vergleichbar mit deutschem Versorgungskontext für Risikoidentifikation.</w:t>
      </w:r>
    </w:p>
    <w:p>
      <w:r>
        <w:rPr>
          <w:color w:val="5A7D3A"/>
          <w:sz w:val="18"/>
        </w:rPr>
        <w:t>https://pubmed.ncbi.nlm.nih.gov/42634071/</w:t>
      </w:r>
    </w:p>
    <w:p>
      <w:pPr>
        <w:pStyle w:val="Heading1"/>
      </w:pPr>
      <w:r>
        <w:t>Aufgenommen am 30.08.2026</w:t>
      </w:r>
    </w:p>
    <w:p>
      <w:pPr>
        <w:pStyle w:val="Heading2"/>
      </w:pPr>
      <w:r>
        <w:t>Eosinophil-gesteuerte COPD-Therapie: Guideline-Adherence fehlt bei 86% der Patienten</w:t>
      </w:r>
    </w:p>
    <w:p>
      <w:r>
        <w:rPr>
          <w:i/>
          <w:color w:val="666666"/>
          <w:sz w:val="18"/>
        </w:rPr>
        <w:t>Hester J et al.  ·  Lung  ·  29.08.2026  ·  PMID 42667442</w:t>
      </w:r>
    </w:p>
    <w:p>
      <w:r>
        <w:t>Retrospektive Kohortenstudie mit 688 COPD-Patienten in Cleveland-Kliniken evaluierte die Einhaltung GOLD-basierter Eosinophil-Kriterien für Inhalative Steroide (ICS) und klinische Ergebnisse.</w:t>
      </w:r>
    </w:p>
    <w:p>
      <w:r>
        <w:rPr>
          <w:b/>
        </w:rPr>
        <w:t xml:space="preserve">Ergebnis: </w:t>
      </w:r>
      <w:r>
        <w:t>589 von 688 Patienten (86%) erhielten ICS außerhalb von GOLD-Empfehlungen. Baseline-Eosinophil-Testing wurde nur in 15% durchgeführt. Pneumonie-Inzidenz war identisch (15% vs. 16%, p=0,686); ICS-Deeskalation erfolgte selten (7%) und gleichmäßig in beiden Gruppen. Exazerbation-Anamnese assoziiert mit guideline-konformer Verordnung.</w:t>
      </w:r>
    </w:p>
    <w:p>
      <w:r>
        <w:rPr>
          <w:b/>
          <w:sz w:val="19"/>
        </w:rPr>
        <w:t xml:space="preserve">Übertragbarkeit: </w:t>
      </w:r>
      <w:r>
        <w:rPr>
          <w:sz w:val="19"/>
        </w:rPr>
        <w:t>USA-basiert; Befund zur Guideline-Adherence ist übertragbar unabhängig vom Finanzierungssystem</w:t>
      </w:r>
    </w:p>
    <w:p>
      <w:r>
        <w:rPr>
          <w:color w:val="5A7D3A"/>
          <w:sz w:val="18"/>
        </w:rPr>
        <w:t>https://pubmed.ncbi.nlm.nih.gov/42667442/</w:t>
      </w:r>
    </w:p>
    <w:p>
      <w:pPr>
        <w:pStyle w:val="Heading2"/>
      </w:pPr>
      <w:r>
        <w:t>Triple-Therapie bei COPD: minimale Lebensqualitäts-Verbesserung, erhöhtes Pneumonie-Risiko</w:t>
      </w:r>
    </w:p>
    <w:p>
      <w:r>
        <w:rPr>
          <w:i/>
          <w:color w:val="666666"/>
          <w:sz w:val="18"/>
        </w:rPr>
        <w:t>Jiang J et al.  ·  Int J Chron Obstruct Pulmon Dis  ·  24.08.2026  ·  PMID 42666989</w:t>
      </w:r>
    </w:p>
    <w:p>
      <w:r>
        <w:t>Bayesian Network Meta-Analyse von 14 randomisierten Studien zu inhalativen Erhaltungstherapien und Auswirkungen auf St. George's Respiratory Questionnaire (SGRQ)-Scores bei stabiler COPD.</w:t>
      </w:r>
    </w:p>
    <w:p>
      <w:r>
        <w:rPr>
          <w:b/>
        </w:rPr>
        <w:t xml:space="preserve">Ergebnis: </w:t>
      </w:r>
      <w:r>
        <w:t>Triple-Therapie zeigte größte SGRQ-Verbesserung vs. Placebo (MD -3,99; 95% CrI -5,86 bis -2,16). Verglichen mit LABA+LAMA war triple Therapie marginal besser (MD -1,42; CrI -2,62 bis -0,16), unter minimaler klinisch bedeutsamer Differenz. Pneumonie-Risiko erhöht (OR 1,50; 95% CI 1,16-1,93). Andere aktive Regime unterschieden sich gering voneinander.</w:t>
      </w:r>
    </w:p>
    <w:p>
      <w:r>
        <w:rPr>
          <w:b/>
          <w:sz w:val="19"/>
        </w:rPr>
        <w:t xml:space="preserve">Übertragbarkeit: </w:t>
      </w:r>
      <w:r>
        <w:rPr>
          <w:sz w:val="19"/>
        </w:rPr>
        <w:t>Internationale RCT-Daten, Ergebnisse gelten für COPD-Management in Deutschland unabhängig vom System</w:t>
      </w:r>
    </w:p>
    <w:p>
      <w:r>
        <w:rPr>
          <w:color w:val="5A7D3A"/>
          <w:sz w:val="18"/>
        </w:rPr>
        <w:t>https://pubmed.ncbi.nlm.nih.gov/42666989/</w:t>
      </w:r>
    </w:p>
    <w:p>
      <w:pPr>
        <w:pStyle w:val="Heading2"/>
      </w:pPr>
      <w:r>
        <w:t>Geschlechts-Disparitäten in der Nierenkranken-Versorgung: Frauen unterdiagnostiziert und unterbehandelt</w:t>
      </w:r>
    </w:p>
    <w:p>
      <w:r>
        <w:rPr>
          <w:i/>
          <w:color w:val="666666"/>
          <w:sz w:val="18"/>
        </w:rPr>
        <w:t>Vidanapathirana M et al.  ·  BMC Nephrol  ·  19.08.2026  ·  PMID 42665802</w:t>
      </w:r>
    </w:p>
    <w:p>
      <w:r>
        <w:t>Systematische Übersichtsarbeit von 35 Studien (2000-Juli 2026) zu geschlechtsspezifischen Ungleichheiten im Versorgungszugang entlang der gesamten CKD-Betreuungskontinuum.</w:t>
      </w:r>
    </w:p>
    <w:p>
      <w:r>
        <w:rPr>
          <w:b/>
        </w:rPr>
        <w:t xml:space="preserve">Ergebnis: </w:t>
      </w:r>
      <w:r>
        <w:t>Frauen hatten niedrigere Chancen für CKD-Diagnose und Nephologie-Überweisung, weniger häufige Nierenfunktions-Kontrollen und niedrigere Verschreibungsraten guideline-empfohlener Medikamente. Unter Dialysepatienten: Frauen 38-41% Anteil mit späterem eGFR-Start (8,1-10,1 vs. 10,6 mL/min/1,73m²). Weniger Hämodialyse mit arteriovenöser Fistel; weniger Transplantationsreferral/-Evaluation/-Wartelisting. Systemische und sozioökonomische Mechanismen identifiziert.</w:t>
      </w:r>
    </w:p>
    <w:p>
      <w:r>
        <w:rPr>
          <w:b/>
          <w:sz w:val="19"/>
        </w:rPr>
        <w:t xml:space="preserve">Übertragbarkeit: </w:t>
      </w:r>
      <w:r>
        <w:rPr>
          <w:sz w:val="19"/>
        </w:rPr>
        <w:t>Globale Evidenz; Muster geschlechtsbasierter Ungleichheit ist kontextübergreifend relevant</w:t>
      </w:r>
    </w:p>
    <w:p>
      <w:r>
        <w:rPr>
          <w:color w:val="5A7D3A"/>
          <w:sz w:val="18"/>
        </w:rPr>
        <w:t>https://pubmed.ncbi.nlm.nih.gov/42665802/</w:t>
      </w:r>
    </w:p>
    <w:p>
      <w:pPr>
        <w:pStyle w:val="Heading2"/>
      </w:pPr>
      <w:r>
        <w:t>Hemodiafiltration versus Hemodialysis: Mortalität und Hospitalisierungsrisiko</w:t>
      </w:r>
    </w:p>
    <w:p>
      <w:r>
        <w:rPr>
          <w:i/>
          <w:color w:val="666666"/>
          <w:sz w:val="18"/>
        </w:rPr>
        <w:t>Roos S et al.  ·  BMC Nephrol  ·  28.08.2026  ·  PMID 42665796</w:t>
      </w:r>
    </w:p>
    <w:p>
      <w:r>
        <w:t>Zielgerichtete Studienprotokolle analysieren Routinedaten von über 1000 Dialysepatienten in Europa, um Unterschiede in Mortalität und Krankenhausaufenthalten zwischen Hemodiafiltration und konventionellem Hemodialysis zu untersuchen.</w:t>
      </w:r>
    </w:p>
    <w:p>
      <w:r>
        <w:rPr>
          <w:b/>
        </w:rPr>
        <w:t xml:space="preserve">Ergebnis: </w:t>
      </w:r>
      <w:r>
        <w:t>Geplante Erhebung mit Fokus auf Gesamtsterblichkeit und ursachenspezifische Hospitalisierungen; Hochvolumen-Hemodiafiltration (≥23 L Konvektionsvolumen) wird analysiert als primärer Vergleich. Randomisierte Studien zeigten bereits Mortalitätsvorteil; diese Realweltdaten sollen Generalisierbarkeit klären.</w:t>
      </w:r>
    </w:p>
    <w:p>
      <w:r>
        <w:rPr>
          <w:b/>
          <w:sz w:val="19"/>
        </w:rPr>
        <w:t xml:space="preserve">Übertragbarkeit: </w:t>
      </w:r>
      <w:r>
        <w:rPr>
          <w:sz w:val="19"/>
        </w:rPr>
        <w:t>Europäische Kohorte, deutsche Zentren beteiligt, vergleichbar mit deutschem Versorgungssystem</w:t>
      </w:r>
    </w:p>
    <w:p>
      <w:r>
        <w:rPr>
          <w:color w:val="5A7D3A"/>
          <w:sz w:val="18"/>
        </w:rPr>
        <w:t>https://pubmed.ncbi.nlm.nih.gov/42665796/</w:t>
      </w:r>
    </w:p>
    <w:p>
      <w:pPr>
        <w:pStyle w:val="Heading2"/>
      </w:pPr>
      <w:r>
        <w:t>Cardiometabolic Profile bei Diabetes und BMI: Adipositas erhöht Herzinsuffizienz und CKD-Risiko</w:t>
      </w:r>
    </w:p>
    <w:p>
      <w:r>
        <w:rPr>
          <w:i/>
          <w:color w:val="666666"/>
          <w:sz w:val="18"/>
        </w:rPr>
        <w:t>Ponzani P et al.  ·  Diabetes Res Clin Pract  ·  29.07.2026  ·  PMID 42526840</w:t>
      </w:r>
    </w:p>
    <w:p>
      <w:r>
        <w:t>Querschnittsanalyse von über 500.000 Patienten mit Typ-2-Diabetes aus 296 italienischen Diabeteszentren untersuchte Cardiometabolische Profile und Komplikationen über BMI-Kategorien.</w:t>
      </w:r>
    </w:p>
    <w:p>
      <w:r>
        <w:rPr>
          <w:b/>
        </w:rPr>
        <w:t xml:space="preserve">Ergebnis: </w:t>
      </w:r>
      <w:r>
        <w:t>Herzinsuffizienz-Prävalenzrate: PR 1,41 (p&lt;0,001) bei Adipositas vs. Normalgewicht; CKD: PR 1,13 (p&lt;0,001). Trotz ähnlicher HbA1c-Werte verschlechterten sich Risikofaktoren progressiv mit BMI. Adipöse Patienten waren jünger, mit kürzerer Diabetesdauer und niedrigeren Atherosklerose-Raten.</w:t>
      </w:r>
    </w:p>
    <w:p>
      <w:r>
        <w:rPr>
          <w:b/>
          <w:sz w:val="19"/>
        </w:rPr>
        <w:t xml:space="preserve">Übertragbarkeit: </w:t>
      </w:r>
      <w:r>
        <w:rPr>
          <w:sz w:val="19"/>
        </w:rPr>
        <w:t>Italienische Routinedaten vergleichbar mit deutschem ambulanten Diabetesmanagement in der Primärversorgung</w:t>
      </w:r>
    </w:p>
    <w:p>
      <w:r>
        <w:rPr>
          <w:color w:val="5A7D3A"/>
          <w:sz w:val="18"/>
        </w:rPr>
        <w:t>https://pubmed.ncbi.nlm.nih.gov/42526840/</w:t>
      </w:r>
    </w:p>
    <w:p>
      <w:pPr>
        <w:pStyle w:val="Heading2"/>
      </w:pPr>
      <w:r>
        <w:t>Inhalative Steroide bei COPD senken Lungenkrebsrisiko um 23-39% trotz Immortal-Time-Bias</w:t>
      </w:r>
    </w:p>
    <w:p>
      <w:r>
        <w:rPr>
          <w:i/>
          <w:color w:val="666666"/>
          <w:sz w:val="18"/>
        </w:rPr>
        <w:t>Santa B et al.  ·  Int J Chron Obstruct Pulmon Dis  ·  14.07.2026  ·  PMID 42518632</w:t>
      </w:r>
    </w:p>
    <w:p>
      <w:r>
        <w:t>Retrospektive Analyse von 96.686 bis 196.560 COPD-Patienten aus der ungarischen Nationalen Krankenversicherungsdatenbank (2009-2019) reproduzierte widersprechende frühere Studien zu ICS und Lungenkrebsinzidenz.</w:t>
      </w:r>
    </w:p>
    <w:p>
      <w:r>
        <w:rPr>
          <w:b/>
        </w:rPr>
        <w:t xml:space="preserve">Ergebnis: </w:t>
      </w:r>
      <w:r>
        <w:t>ICS-Nutzer &gt;1 Jahr: 26,2-60,8% der Population. Lungenkrebsfälle: 4.941-8.969 Fälle. Adjustierte Cox-Modelle zeigten konsistent protective effect: HR 0,77 (0,63-0,94) bzw. 0,61 (0,53-0,70). Trend trotz beider methodologischer Ansätze konsistent. Limitation: Rauchen nicht im Datensatz enthalten; höherer Asthma-Code-Anteil in ICS-Gruppe Cohort 2.</w:t>
      </w:r>
    </w:p>
    <w:p>
      <w:r>
        <w:rPr>
          <w:b/>
          <w:sz w:val="19"/>
        </w:rPr>
        <w:t xml:space="preserve">Übertragbarkeit: </w:t>
      </w:r>
      <w:r>
        <w:rPr>
          <w:sz w:val="19"/>
        </w:rPr>
        <w:t>Ungarische Routinedaten mit vergleichbarem Sozialversicherungssystem wie Deutschland</w:t>
      </w:r>
    </w:p>
    <w:p>
      <w:r>
        <w:rPr>
          <w:color w:val="5A7D3A"/>
          <w:sz w:val="18"/>
        </w:rPr>
        <w:t>https://pubmed.ncbi.nlm.nih.gov/42518632/</w:t>
      </w:r>
    </w:p>
    <w:p>
      <w:pPr>
        <w:pStyle w:val="Heading1"/>
      </w:pPr>
      <w:r>
        <w:t>Aufgenommen am 29.08.2026</w:t>
      </w:r>
    </w:p>
    <w:p>
      <w:pPr>
        <w:pStyle w:val="Heading2"/>
      </w:pPr>
      <w:r>
        <w:t>Rassen-freie Nierenfunktionsformel ändert Risikostratifizierung nicht</w:t>
      </w:r>
    </w:p>
    <w:p>
      <w:r>
        <w:rPr>
          <w:i/>
          <w:color w:val="666666"/>
          <w:sz w:val="18"/>
        </w:rPr>
        <w:t>Huisman BJMV et al.  ·  Glob Heart  ·  21.08.2026  ·  PMID 42631246</w:t>
      </w:r>
    </w:p>
    <w:p>
      <w:r>
        <w:t>HELIUS-Studie mit 21.617 Erwachsenen aus Amsterdam vergleicht alte (2009) und neue rassen-freie (2021) CKD-EPI-Formeln zur Nierenfunktion und kardiovaskulärem Risiko.</w:t>
      </w:r>
    </w:p>
    <w:p>
      <w:r>
        <w:rPr>
          <w:b/>
        </w:rPr>
        <w:t xml:space="preserve">Ergebnis: </w:t>
      </w:r>
      <w:r>
        <w:t>Die neue Formel zeigte bei Afrikanern leicht niedrigere eGFR-Werte, aber CKD-Klassifikation (κ=0,94-0,99) und kardiovaskuläre Risikostratifizierung waren nahezu identisch; Befund bestätigt klinische Austauschbarkeit.</w:t>
      </w:r>
    </w:p>
    <w:p>
      <w:r>
        <w:rPr>
          <w:b/>
          <w:sz w:val="19"/>
        </w:rPr>
        <w:t xml:space="preserve">Übertragbarkeit: </w:t>
      </w:r>
      <w:r>
        <w:rPr>
          <w:sz w:val="19"/>
        </w:rPr>
        <w:t>Niederlande, vergleichbares europäisches Sozialversicherungssystem</w:t>
      </w:r>
    </w:p>
    <w:p>
      <w:r>
        <w:rPr>
          <w:color w:val="5A7D3A"/>
          <w:sz w:val="18"/>
        </w:rPr>
        <w:t>https://pubmed.ncbi.nlm.nih.gov/42631246/</w:t>
      </w:r>
    </w:p>
    <w:p>
      <w:pPr>
        <w:pStyle w:val="Heading2"/>
      </w:pPr>
      <w:r>
        <w:t>Chronisches Pruritus bei Dialysepatienten: Häufigkeit und Belastung deutlich unterschätzt</w:t>
      </w:r>
    </w:p>
    <w:p>
      <w:r>
        <w:rPr>
          <w:i/>
          <w:color w:val="666666"/>
          <w:sz w:val="18"/>
        </w:rPr>
        <w:t>Downey C et al.  ·  J Ren Care  ·  Sept. 2026  ·  PMID 42554232</w:t>
      </w:r>
    </w:p>
    <w:p>
      <w:r>
        <w:t>Nationale Umfrage an 689 irischen Dialysepatienten zur Häufigkeit, Schweregrad und Erlebnis von dialyse-assoziiertem Juckreiz.</w:t>
      </w:r>
    </w:p>
    <w:p>
      <w:r>
        <w:rPr>
          <w:b/>
        </w:rPr>
        <w:t xml:space="preserve">Ergebnis: </w:t>
      </w:r>
      <w:r>
        <w:t>62% erlebten Pruritus, 66% davon moderat-schwer; Kopf/Gesicht am stärksten assoziiert mit Schweregrad (OR 2,08). Psychische Belastung erheblich: Schlafstörungen, Infektionsrisiko. Nur wenig Behandlung.</w:t>
      </w:r>
    </w:p>
    <w:p>
      <w:r>
        <w:rPr>
          <w:b/>
          <w:sz w:val="19"/>
        </w:rPr>
        <w:t xml:space="preserve">Übertragbarkeit: </w:t>
      </w:r>
      <w:r>
        <w:rPr>
          <w:sz w:val="19"/>
        </w:rPr>
        <w:t>Irland, NHS-Dialysezentren, europäische Strukturen</w:t>
      </w:r>
    </w:p>
    <w:p>
      <w:r>
        <w:rPr>
          <w:color w:val="5A7D3A"/>
          <w:sz w:val="18"/>
        </w:rPr>
        <w:t>https://pubmed.ncbi.nlm.nih.gov/42554232/</w:t>
      </w:r>
    </w:p>
    <w:p>
      <w:pPr>
        <w:pStyle w:val="Heading2"/>
      </w:pPr>
      <w:r>
        <w:t>Aminosäure-Dialysatlösungen verbessern Ernährungsstatus bei Peritonealdialyse</w:t>
      </w:r>
    </w:p>
    <w:p>
      <w:r>
        <w:rPr>
          <w:i/>
          <w:color w:val="666666"/>
          <w:sz w:val="18"/>
        </w:rPr>
        <w:t>Lindholm B et al.  ·  BMC Nephrol  ·  30.07.2026  ·  PMID 42538540</w:t>
      </w:r>
    </w:p>
    <w:p>
      <w:r>
        <w:t>Systematischer Review zu klinischen Studien mit 1,1%-Aminosäure-basierten Peritonealdialysatlösungen statt Glucose zur Reduktion der Glukoseexposition.</w:t>
      </w:r>
    </w:p>
    <w:p>
      <w:r>
        <w:rPr>
          <w:b/>
        </w:rPr>
        <w:t xml:space="preserve">Ergebnis: </w:t>
      </w:r>
      <w:r>
        <w:t>Aminosäure-Lösungen verbessern Serumalbumin und Stickstoffbilanz bei tolerabler Verträglichkeit; reduzieren Glukosebelastung. Langzeitdaten zu Technik-Überleben und Mortalität fehlen noch, aber Evidenz unterstützt gezielten Einsatz bei mangelernährten Hochrisikopatienten.</w:t>
      </w:r>
    </w:p>
    <w:p>
      <w:r>
        <w:rPr>
          <w:b/>
          <w:sz w:val="19"/>
        </w:rPr>
        <w:t xml:space="preserve">Übertragbarkeit: </w:t>
      </w:r>
      <w:r>
        <w:rPr>
          <w:sz w:val="19"/>
        </w:rPr>
        <w:t>Schweden, Europa, Peritonealdialyse-Standard</w:t>
      </w:r>
    </w:p>
    <w:p>
      <w:r>
        <w:rPr>
          <w:color w:val="5A7D3A"/>
          <w:sz w:val="18"/>
        </w:rPr>
        <w:t>https://pubmed.ncbi.nlm.nih.gov/42538540/</w:t>
      </w:r>
    </w:p>
    <w:p>
      <w:pPr>
        <w:pStyle w:val="Heading2"/>
      </w:pPr>
      <w:r>
        <w:t>Long COVID erhöht Risiko für neue chronische Erkrankungen deutlich</w:t>
      </w:r>
    </w:p>
    <w:p>
      <w:r>
        <w:rPr>
          <w:i/>
          <w:color w:val="666666"/>
          <w:sz w:val="18"/>
        </w:rPr>
        <w:t>Sõnajalg H et al.  ·  Front Public Health  ·  16.07.2026  ·  PMID 42534966</w:t>
      </w:r>
    </w:p>
    <w:p>
      <w:r>
        <w:t>Bevölkerungsbasierte estnische Kohorte (N=2.639 Long-COVID-Patienten, 199.171 Kontrollen) zur Assoziation zwischen Long COVID und Neuauftreten chronischer Erkrankungen.</w:t>
      </w:r>
    </w:p>
    <w:p>
      <w:r>
        <w:rPr>
          <w:b/>
        </w:rPr>
        <w:t xml:space="preserve">Ergebnis: </w:t>
      </w:r>
      <w:r>
        <w:t>Long COVID assoziiert mit erhöhtem Risiko für Asthma (OR 5,12), COPD (OR 4,08), Schlafapnoe (OR 3,05). Type-2-Diabetes-Inzidenz stieg nach März 2020 über erwartete Trends (p=1,84×10-80).</w:t>
      </w:r>
    </w:p>
    <w:p>
      <w:r>
        <w:rPr>
          <w:b/>
          <w:sz w:val="19"/>
        </w:rPr>
        <w:t xml:space="preserve">Übertragbarkeit: </w:t>
      </w:r>
      <w:r>
        <w:rPr>
          <w:sz w:val="19"/>
        </w:rPr>
        <w:t>Estland, nationale Gesundheitsdaten, europäisches System</w:t>
      </w:r>
    </w:p>
    <w:p>
      <w:r>
        <w:rPr>
          <w:color w:val="5A7D3A"/>
          <w:sz w:val="18"/>
        </w:rPr>
        <w:t>https://pubmed.ncbi.nlm.nih.gov/42534966/</w:t>
      </w:r>
    </w:p>
    <w:p>
      <w:pPr>
        <w:pStyle w:val="Heading2"/>
      </w:pPr>
      <w:r>
        <w:t>Endostatin zeigt Anämierisiko bei älteren Nierenpatienten an</w:t>
      </w:r>
    </w:p>
    <w:p>
      <w:r>
        <w:rPr>
          <w:i/>
          <w:color w:val="666666"/>
          <w:sz w:val="18"/>
        </w:rPr>
        <w:t>Corsonello A et al.  ·  J Transl Med  ·  24.07.2026  ·  PMID 42533353</w:t>
      </w:r>
    </w:p>
    <w:p>
      <w:r>
        <w:t>SCOPE-Studie (2.008 Erwachsene ≥75 Jahre) zur Assoziation zwischen zirkulierendem Endostatin und prävalenter/inzidenter Anämie bei CKD.</w:t>
      </w:r>
    </w:p>
    <w:p>
      <w:r>
        <w:rPr>
          <w:b/>
        </w:rPr>
        <w:t xml:space="preserve">Ergebnis: </w:t>
      </w:r>
      <w:r>
        <w:t>Höhere Endostatin-Level unabhängig assoziiert mit niedrigerem Hämoglobin (β -0,21) und prävalenter Anämie (OR 1,38). Bei Zwei-Jahres-Nachverfolgung: 11,4% Neuauftreten von Anämie, höhere Endostatin-Level erhöhten Risiko (sHR 1,40); Assoziation stärker bei CKD.</w:t>
      </w:r>
    </w:p>
    <w:p>
      <w:r>
        <w:rPr>
          <w:b/>
          <w:sz w:val="19"/>
        </w:rPr>
        <w:t xml:space="preserve">Übertragbarkeit: </w:t>
      </w:r>
      <w:r>
        <w:rPr>
          <w:sz w:val="19"/>
        </w:rPr>
        <w:t>Europäische Multizenterstudie (Schweden, Österreich, Niederlande, Spanien, Polen)</w:t>
      </w:r>
    </w:p>
    <w:p>
      <w:r>
        <w:rPr>
          <w:color w:val="5A7D3A"/>
          <w:sz w:val="18"/>
        </w:rPr>
        <w:t>https://pubmed.ncbi.nlm.nih.gov/42533353/</w:t>
      </w:r>
    </w:p>
    <w:p>
      <w:pPr>
        <w:pStyle w:val="Heading2"/>
      </w:pPr>
      <w:r>
        <w:t>Inhaled corticosteroids senken kardiovaskuläres Risiko bei COPD nicht</w:t>
      </w:r>
    </w:p>
    <w:p>
      <w:r>
        <w:rPr>
          <w:i/>
          <w:color w:val="666666"/>
          <w:sz w:val="18"/>
        </w:rPr>
        <w:t>Nielsen MRI et al.  ·  BMJ Open  ·  29.07.2026  ·  PMID 42526931</w:t>
      </w:r>
    </w:p>
    <w:p>
      <w:r>
        <w:t>Registerbasierte Kohortenstudie mit 82.327 COPD-Patienten in Dänemark zu kardiovaskulären Ereignissen unter ICS-Therapie in verschiedenen Dosen.</w:t>
      </w:r>
    </w:p>
    <w:p>
      <w:r>
        <w:rPr>
          <w:b/>
        </w:rPr>
        <w:t xml:space="preserve">Ergebnis: </w:t>
      </w:r>
      <w:r>
        <w:t>ICS waren bei keiner Dosis mit erhöhtem kardiovaskulärem Risiko assoziiert; moderate Dosen zeigten sogar modeste Risikoreduktion (HR 0,89, p&lt;0,05). Befund widerlegt Safety-Bedenken gegen ICS.</w:t>
      </w:r>
    </w:p>
    <w:p>
      <w:r>
        <w:rPr>
          <w:b/>
          <w:sz w:val="19"/>
        </w:rPr>
        <w:t xml:space="preserve">Übertragbarkeit: </w:t>
      </w:r>
      <w:r>
        <w:rPr>
          <w:sz w:val="19"/>
        </w:rPr>
        <w:t>Dänemark, nationale Registerdaten, vergleichbares Nordeuropa-System</w:t>
      </w:r>
    </w:p>
    <w:p>
      <w:r>
        <w:rPr>
          <w:color w:val="5A7D3A"/>
          <w:sz w:val="18"/>
        </w:rPr>
        <w:t>https://pubmed.ncbi.nlm.nih.gov/42526931/</w:t>
      </w:r>
    </w:p>
    <w:p>
      <w:pPr>
        <w:pStyle w:val="Heading1"/>
      </w:pPr>
      <w:r>
        <w:t>Aufgenommen am 28.08.2026</w:t>
      </w:r>
    </w:p>
    <w:p>
      <w:pPr>
        <w:pStyle w:val="Heading2"/>
      </w:pPr>
      <w:r>
        <w:t>Berufliche Expositionen und COPD-Neuerkrankungen: Exposom-Analyse in zwei europäischen Kohorten</w:t>
      </w:r>
    </w:p>
    <w:p>
      <w:r>
        <w:rPr>
          <w:i/>
          <w:color w:val="666666"/>
          <w:sz w:val="18"/>
        </w:rPr>
        <w:t>Kynde T et al.  ·  Ann Work Expo Health  ·  26.08.2026  ·  PMID 42658646</w:t>
      </w:r>
    </w:p>
    <w:p>
      <w:r>
        <w:t>Die Studie untersuchte in zwei europäischen Bevölkerungskohorten (ECRHS, CONSTANCES), welche beruflichen Expositionen mit Neuauftreten von COPD assoziiert sind – über Job-Expositions-Matrizen und moderne statistische Methoden (ExWAS, LASSO, Boruta Random Forest).</w:t>
      </w:r>
    </w:p>
    <w:p>
      <w:r>
        <w:rPr>
          <w:b/>
        </w:rPr>
        <w:t xml:space="preserve">Ergebnis: </w:t>
      </w:r>
      <w:r>
        <w:t>Wichtigste Risiko-Expositionen variieren zwischen Kohorten: In ECRHS waren Heben, Vorneigebewegungen, Gase/Dämpfe und Mineralstaub prädiktiv; in CONSTANCES Dieselabgase, kristallines Quarzmehl und Lösungsmittel. Beide Kohorten bestätigen bekannte chemische Gefahrstoffe und identifizieren neue Assoziationen zwischen ergonomischen/physischen Belastungen und COPD-Risiko.</w:t>
      </w:r>
    </w:p>
    <w:p>
      <w:r>
        <w:rPr>
          <w:b/>
          <w:sz w:val="19"/>
        </w:rPr>
        <w:t xml:space="preserve">Übertragbarkeit: </w:t>
      </w:r>
      <w:r>
        <w:rPr>
          <w:sz w:val="19"/>
        </w:rPr>
        <w:t>Europäische Kohorten mit strukturierter Expositionserfassung; Ergebnisse direkt auf deutsche Berufsgruppen übertragbar.</w:t>
      </w:r>
    </w:p>
    <w:p>
      <w:r>
        <w:rPr>
          <w:color w:val="5A7D3A"/>
          <w:sz w:val="18"/>
        </w:rPr>
        <w:t>https://pubmed.ncbi.nlm.nih.gov/42658646/</w:t>
      </w:r>
    </w:p>
    <w:p>
      <w:pPr>
        <w:pStyle w:val="Heading2"/>
      </w:pPr>
      <w:r>
        <w:t>Transdisziplinäres Rahmenwerk für chronische Erkrankung und chronischen Schmerz aus qualitativer Synthese</w:t>
      </w:r>
    </w:p>
    <w:p>
      <w:r>
        <w:rPr>
          <w:i/>
          <w:color w:val="666666"/>
          <w:sz w:val="18"/>
        </w:rPr>
        <w:t>Safavi-Abbasi S et al.  ·  Front Public Health  ·  12.08.2026  ·  PMID 42656526</w:t>
      </w:r>
    </w:p>
    <w:p>
      <w:r>
        <w:t>Systematische qualitative Metasynopse von 104 Primärstudien (2009–2025) zu Patientenerfahrungen chronischer Erkrankung und Schmerz; Integration von 52 weiteren Studien zu transdisziplinären Prinzipien zur Entwicklung eines klinisch anwendbaren Rahmenwerks.</w:t>
      </w:r>
    </w:p>
    <w:p>
      <w:r>
        <w:rPr>
          <w:b/>
        </w:rPr>
        <w:t xml:space="preserve">Ergebnis: </w:t>
      </w:r>
      <w:r>
        <w:t>Identifiziert sieben zentrale Erfahrungsdomänen (soziale Isolation, Identitätsverlust, körperliche Debilitation, emotionale Belastung, kognitive Überlastung, Unsicherheit, Kampf um Legitimität im System) und verknüpft sie mit fünf transdisziplinären Prinzipien (Kommunikation, Zusammenarbeit, Partizipation, Reflexivität, Systemdenken). Das Rahmenwerk strukturiert personenzentrierte Versorgung, interdisziplinäre Kooperation und koordiniertes Management.</w:t>
      </w:r>
    </w:p>
    <w:p>
      <w:r>
        <w:rPr>
          <w:b/>
          <w:sz w:val="19"/>
        </w:rPr>
        <w:t xml:space="preserve">Übertragbarkeit: </w:t>
      </w:r>
      <w:r>
        <w:rPr>
          <w:sz w:val="19"/>
        </w:rPr>
        <w:t>Qualitative Synthese aus international vergleichbaren Studien; Versorgungsansätze gelten über Grenzen hinweg.</w:t>
      </w:r>
    </w:p>
    <w:p>
      <w:r>
        <w:rPr>
          <w:color w:val="5A7D3A"/>
          <w:sz w:val="18"/>
        </w:rPr>
        <w:t>https://pubmed.ncbi.nlm.nih.gov/42656526/</w:t>
      </w:r>
    </w:p>
    <w:p>
      <w:pPr>
        <w:pStyle w:val="Heading2"/>
      </w:pPr>
      <w:r>
        <w:t>Ländliche Versorgung chronischer Erkrankungen: Von Gesundheitssystem zu gesellschaftlichen Determinanten</w:t>
      </w:r>
    </w:p>
    <w:p>
      <w:r>
        <w:rPr>
          <w:i/>
          <w:color w:val="666666"/>
          <w:sz w:val="18"/>
        </w:rPr>
        <w:t>Kuwayama T et al.  ·  Int J Environ Res Public Health  ·  27.07.2026  ·  PMID 42652287</w:t>
      </w:r>
    </w:p>
    <w:p>
      <w:r>
        <w:t>Scoping Review (23 Studien: 12 vor, 11 nach COVID-19) zu Themen ländlicher Versorgungsprobleme bei chronischen Krankheiten; thematischer Vergleich prä- und post-pandemisch.</w:t>
      </w:r>
    </w:p>
    <w:p>
      <w:r>
        <w:rPr>
          <w:b/>
        </w:rPr>
        <w:t xml:space="preserve">Ergebnis: </w:t>
      </w:r>
      <w:r>
        <w:t>Vor Pandemie dominierten Themen: niedrige Managementraten (Hypertonie, Diabetes), Arzneimittelversorgung, unzureichendes Fachpersonal (Thema: Gesundheitssystem). Nach Pandemie zusätzlich: psychische Gesundheit, Ernährung, Mehrfacherkrankung, sozioökonomische Disparitäten (Thema: Gesellschaft). Verschiebung zeigt: Pandemie hat Debatte von technischen auf ganzheitliche Determinanten ausgeweitet.</w:t>
      </w:r>
    </w:p>
    <w:p>
      <w:r>
        <w:rPr>
          <w:b/>
          <w:sz w:val="19"/>
        </w:rPr>
        <w:t xml:space="preserve">Übertragbarkeit: </w:t>
      </w:r>
      <w:r>
        <w:rPr>
          <w:sz w:val="19"/>
        </w:rPr>
        <w:t>Japan/Ländervergleich; Systematik der ländlichen Versorgungshürden auch für deutsche Flächenländer relevant.</w:t>
      </w:r>
    </w:p>
    <w:p>
      <w:r>
        <w:rPr>
          <w:color w:val="5A7D3A"/>
          <w:sz w:val="18"/>
        </w:rPr>
        <w:t>https://pubmed.ncbi.nlm.nih.gov/42652287/</w:t>
      </w:r>
    </w:p>
    <w:p>
      <w:pPr>
        <w:pStyle w:val="Heading2"/>
      </w:pPr>
      <w:r>
        <w:t>Funktionale Lungen-MRT zeigt Verbesserung der Hyperinflation nach Doppel-Bronchodilator bei COPD</w:t>
      </w:r>
    </w:p>
    <w:p>
      <w:r>
        <w:rPr>
          <w:i/>
          <w:color w:val="666666"/>
          <w:sz w:val="18"/>
        </w:rPr>
        <w:t>Müller RA et al.  ·  COPD  ·  12.08.2026  ·  PMID 42584170</w:t>
      </w:r>
    </w:p>
    <w:p>
      <w:r>
        <w:t>Randomisierte Crossover-Studie (n=29 COPD-Patienten) zur Wirkung einer Einzeldosis Doppel-Bronchodilator auf ventilationsdynamische Parameter mittels funktioneller Lungen-MRT während kontrollierter schneller Atmung (Metronom-gesteuert).</w:t>
      </w:r>
    </w:p>
    <w:p>
      <w:r>
        <w:rPr>
          <w:b/>
        </w:rPr>
        <w:t xml:space="preserve">Ergebnis: </w:t>
      </w:r>
      <w:r>
        <w:t>In Ruhe keine signifikanten FEV1-Verbesserungen; unter beschleunigter Atmung jedoch signifikante Reduktion der Funktionalen Residualkapazität (FRC: Kontrollgruppe −0,1 L vs. Interventionsgruppe −0,4 L, p&lt;0,05), verbesserte Ventilationshomogenität und Durchfluss-Volumen-Korrelation. Nach Mehrfach-Dosierung zeigten 5 von 6 Parametern Besserungen (alle p&lt;0,03).</w:t>
      </w:r>
    </w:p>
    <w:p>
      <w:r>
        <w:rPr>
          <w:b/>
          <w:sz w:val="19"/>
        </w:rPr>
        <w:t xml:space="preserve">Übertragbarkeit: </w:t>
      </w:r>
      <w:r>
        <w:rPr>
          <w:sz w:val="19"/>
        </w:rPr>
        <w:t>Deutsche Klinikdaten verfügbar; Methode für Monitoring strukturierter COPD-Programme geeignet.</w:t>
      </w:r>
    </w:p>
    <w:p>
      <w:r>
        <w:rPr>
          <w:color w:val="5A7D3A"/>
          <w:sz w:val="18"/>
        </w:rPr>
        <w:t>https://pubmed.ncbi.nlm.nih.gov/42584170/</w:t>
      </w:r>
    </w:p>
    <w:p>
      <w:pPr>
        <w:pStyle w:val="Heading2"/>
      </w:pPr>
      <w:r>
        <w:t>Nicht-Teilnahme an Hepatitis-B-Versorgung: Barrieren und Interventionen in UK-Sekundärversorgung</w:t>
      </w:r>
    </w:p>
    <w:p>
      <w:r>
        <w:rPr>
          <w:i/>
          <w:color w:val="666666"/>
          <w:sz w:val="18"/>
        </w:rPr>
        <w:t>Shiel EV et al.  ·  J Viral Hepat  ·  Sept. 2026  ·  PMID 42583956</w:t>
      </w:r>
    </w:p>
    <w:p>
      <w:r>
        <w:t>Scoping Review von 11 Studien zu Faktoren, die Nicht-Teilnahme an Sekundärversorgung-Terminen bei chronischer Hepatitis B in Großbritannien erklären, und identifizierten Strategien zur Verbesserung der Adhärenz.</w:t>
      </w:r>
    </w:p>
    <w:p>
      <w:r>
        <w:rPr>
          <w:b/>
        </w:rPr>
        <w:t xml:space="preserve">Ergebnis: </w:t>
      </w:r>
      <w:r>
        <w:t>Barrieren: patientenseitig (Gesundheitskompetenz, Stigma, konkurrierende Prioritäten), systemisch (Terminvergabe, Erreichbarkeit), psychologisch (Angst vor Diagnose, Nebenwirkungen); kulturelle und Sprachbarrieren. Wirksame Interventionen: Patienten-Edukation, kulturell angepasste Ansätze, Erinnerungssysteme (SMS, Telefon), integrierte Care-Modelle mit Community Outreach.</w:t>
      </w:r>
    </w:p>
    <w:p>
      <w:r>
        <w:rPr>
          <w:b/>
          <w:sz w:val="19"/>
        </w:rPr>
        <w:t xml:space="preserve">Übertragbarkeit: </w:t>
      </w:r>
      <w:r>
        <w:rPr>
          <w:sz w:val="19"/>
        </w:rPr>
        <w:t>Britisches Versorgungssystem mit vergleichbarem NHS-Zugang; Interventionsdesign auf deutsche Sprechstunden-Logistik adaptierbar.</w:t>
      </w:r>
    </w:p>
    <w:p>
      <w:r>
        <w:rPr>
          <w:color w:val="5A7D3A"/>
          <w:sz w:val="18"/>
        </w:rPr>
        <w:t>https://pubmed.ncbi.nlm.nih.gov/42583956/</w:t>
      </w:r>
    </w:p>
    <w:p>
      <w:pPr>
        <w:pStyle w:val="Heading2"/>
      </w:pPr>
      <w:r>
        <w:t>Vegetarische Ernährung reduziert CKD-Risiko: Prospektive UK-Biobank-Kohorte</w:t>
      </w:r>
    </w:p>
    <w:p>
      <w:r>
        <w:rPr>
          <w:i/>
          <w:color w:val="666666"/>
          <w:sz w:val="18"/>
        </w:rPr>
        <w:t>Candussi CJ et al.  ·  Sci Rep  ·  03.08.2026  ·  PMID 42547796</w:t>
      </w:r>
    </w:p>
    <w:p>
      <w:r>
        <w:t>Prospektive Kohortenstudie (n=416.584, Alter 40–69 Jahre) zur Assoziation fünf verschiedener Ernährungsmuster (hochfleischreich bis vegetarisch) mit chronischer Nierenerkrankung (CKD) über 12,9 Jahre Follow-up.</w:t>
      </w:r>
    </w:p>
    <w:p>
      <w:r>
        <w:rPr>
          <w:b/>
        </w:rPr>
        <w:t xml:space="preserve">Ergebnis: </w:t>
      </w:r>
      <w:r>
        <w:t>Bei 23.084 CKD-Neuerkrankungen zeigte sich: Vegetarier hatten das niedrigste Risiko im Vergleich zu hochfleischessern (HR=0,81, 95%-KI 0,71–0,93). Risikoreduktion war statistisch signifikant und konsistent über verschiedene Analysen; die Effektstärke ist klinisch bedeutsam für Prävention.</w:t>
      </w:r>
    </w:p>
    <w:p>
      <w:r>
        <w:rPr>
          <w:b/>
          <w:sz w:val="19"/>
        </w:rPr>
        <w:t xml:space="preserve">Übertragbarkeit: </w:t>
      </w:r>
      <w:r>
        <w:rPr>
          <w:sz w:val="19"/>
        </w:rPr>
        <w:t>UK-Biobank mit vergleichbarer Dokumentation; Präventionsempfehlung auf Deutschland übertragbar.</w:t>
      </w:r>
    </w:p>
    <w:p>
      <w:r>
        <w:rPr>
          <w:color w:val="5A7D3A"/>
          <w:sz w:val="18"/>
        </w:rPr>
        <w:t>https://pubmed.ncbi.nlm.nih.gov/42547796/</w:t>
      </w:r>
    </w:p>
    <w:p>
      <w:pPr>
        <w:pStyle w:val="Heading1"/>
      </w:pPr>
      <w:r>
        <w:t>Aufgenommen am 27.08.2026</w:t>
      </w:r>
    </w:p>
    <w:p>
      <w:pPr>
        <w:pStyle w:val="Heading2"/>
      </w:pPr>
      <w:r>
        <w:t>Mehrfacherkrankung und Krankenhausaufenthalt bei Herzinsuffizienz in Indonesien</w:t>
      </w:r>
    </w:p>
    <w:p>
      <w:r>
        <w:rPr>
          <w:i/>
          <w:color w:val="666666"/>
          <w:sz w:val="18"/>
        </w:rPr>
        <w:t>Yolanda G et al.  ·  Open Heart  ·  26.08.2026  ·  PMID 42648742</w:t>
      </w:r>
    </w:p>
    <w:p>
      <w:r>
        <w:t>Bevölkerungsbasierte retrospektive Kohorte von 9.018 Patienten (12.461 Aufenthalte) mit Herzinsuffizienz aus indonesischer Krankenversicherung zu Einfluss von Mehrfacherkrankung auf Liegedauer und Wiederaufnahme.</w:t>
      </w:r>
    </w:p>
    <w:p>
      <w:r>
        <w:rPr>
          <w:b/>
        </w:rPr>
        <w:t xml:space="preserve">Ergebnis: </w:t>
      </w:r>
      <w:r>
        <w:t>Mehrfacherkrankung in 72,4%, jede zusätzliche Komorbidität assoziiert mit: längerer Liegedauer (+0,13 Tage), höherer 30-Tage-Wiederaufnahmequote (OR 1,22) und höherer 90-Tage-Wiederaufnahme (OR 1,27). Spezifische Muster: Anämie stärkste Assoziation mit Liegedauer, ischämische Herzerkrankung, CKD, COPD und Klappenvitium mit Wiederaufnahme.</w:t>
      </w:r>
    </w:p>
    <w:p>
      <w:r>
        <w:rPr>
          <w:b/>
          <w:sz w:val="19"/>
        </w:rPr>
        <w:t xml:space="preserve">Übertragbarkeit: </w:t>
      </w:r>
      <w:r>
        <w:rPr>
          <w:sz w:val="19"/>
        </w:rPr>
        <w:t>Indonesien mit universeller Krankenversicherung, begrenzte Ressourcen, Mehrfacherkrankungslast auch in deutschem System relevant.</w:t>
      </w:r>
    </w:p>
    <w:p>
      <w:r>
        <w:rPr>
          <w:color w:val="5A7D3A"/>
          <w:sz w:val="18"/>
        </w:rPr>
        <w:t>https://pubmed.ncbi.nlm.nih.gov/42648742/</w:t>
      </w:r>
    </w:p>
    <w:p>
      <w:pPr>
        <w:pStyle w:val="Heading2"/>
      </w:pPr>
      <w:r>
        <w:t>Ungleiche Versorgung nach Transplantatversagen: Ethnizität und Deprivation beeinflussen Retransplantation</w:t>
      </w:r>
    </w:p>
    <w:p>
      <w:r>
        <w:rPr>
          <w:i/>
          <w:color w:val="666666"/>
          <w:sz w:val="18"/>
        </w:rPr>
        <w:t>Westaway S et al.  ·  PLoS One  ·  26.08.2026  ·  PMID 42647538</w:t>
      </w:r>
    </w:p>
    <w:p>
      <w:r>
        <w:t>Analyse von 5.447 Patienten mit Transplantatversagen in Großbritannien zum Zusammenhang von Patientenmerkmalen mit Versorgungsergebnissen (Retransplantation, Dialyseverfahren, Mortalität).</w:t>
      </w:r>
    </w:p>
    <w:p>
      <w:r>
        <w:rPr>
          <w:b/>
        </w:rPr>
        <w:t xml:space="preserve">Ergebnis: </w:t>
      </w:r>
      <w:r>
        <w:t>Schwarze und asiatische Patienten erhielten deutlich seltener Retransplantationen (RRR 0,41 bzw. 0,57), ebenso Personen in deprivierteren Gegenden (RRR 0,78 pro Deprivationsquintil). Männer wurden häufiger retransplantiert und an Hämodialyse angeschlossen. Diese Ungleichheiten sind versorgungsrelevant und beeinflussen das Überleben.</w:t>
      </w:r>
    </w:p>
    <w:p>
      <w:r>
        <w:rPr>
          <w:b/>
          <w:sz w:val="19"/>
        </w:rPr>
        <w:t xml:space="preserve">Übertragbarkeit: </w:t>
      </w:r>
      <w:r>
        <w:rPr>
          <w:sz w:val="19"/>
        </w:rPr>
        <w:t>Britisches Gesundheitssystem mit elektronischen Registerdaten, teilweise vergleichbar mit deutschem Organtransplantationssystem.</w:t>
      </w:r>
    </w:p>
    <w:p>
      <w:r>
        <w:rPr>
          <w:color w:val="5A7D3A"/>
          <w:sz w:val="18"/>
        </w:rPr>
        <w:t>https://pubmed.ncbi.nlm.nih.gov/42647538/</w:t>
      </w:r>
    </w:p>
    <w:p>
      <w:pPr>
        <w:pStyle w:val="Heading2"/>
      </w:pPr>
      <w:r>
        <w:t>Kompetenzen für personenzentrierte Versorgung bei Mehrfacherkrankung: Fokusgruppen mit Patienten und Fachkräften</w:t>
      </w:r>
    </w:p>
    <w:p>
      <w:r>
        <w:rPr>
          <w:i/>
          <w:color w:val="666666"/>
          <w:sz w:val="18"/>
        </w:rPr>
        <w:t>Michielsen LJ et al.  ·  Eur J Gen Pract  ·  26.08.2026  ·  PMID 42647104</w:t>
      </w:r>
    </w:p>
    <w:p>
      <w:r>
        <w:t>Qualitative Fokusgruppenstudie mit 14 Hausarztfachkräften und 10 Patienten mit chronischen Erkrankungen zu essentiellen Kompetenzen für personenzentrierte integrierte Versorgung.</w:t>
      </w:r>
    </w:p>
    <w:p>
      <w:r>
        <w:rPr>
          <w:b/>
        </w:rPr>
        <w:t xml:space="preserve">Ergebnis: </w:t>
      </w:r>
      <w:r>
        <w:t>Fachkräfte benannten: personenzentrierte Einstellung, Kommunikationsfähigkeiten, Interprofessionelles Zusammenarbeiten. Patienten werteten zusätzlich Kontinuität und designierten Ansprechpartner. Fachkräfte nannten Schulung, Reflektionszirkel und Fallbesprechungen als nötig. Kernaussage: Erfolgreiche Versorgung erfordert neben individuellen Kompetenzen Organisationsbedingungen für koordinierte, kontinuierliche Pflege.</w:t>
      </w:r>
    </w:p>
    <w:p>
      <w:r>
        <w:rPr>
          <w:b/>
          <w:sz w:val="19"/>
        </w:rPr>
        <w:t xml:space="preserve">Übertragbarkeit: </w:t>
      </w:r>
      <w:r>
        <w:rPr>
          <w:sz w:val="19"/>
        </w:rPr>
        <w:t>Niederlande, vergleichbare Primärversorgungsstrukturen und DMPs wie Deutschland.</w:t>
      </w:r>
    </w:p>
    <w:p>
      <w:r>
        <w:rPr>
          <w:color w:val="5A7D3A"/>
          <w:sz w:val="18"/>
        </w:rPr>
        <w:t>https://pubmed.ncbi.nlm.nih.gov/42647104/</w:t>
      </w:r>
    </w:p>
    <w:p>
      <w:pPr>
        <w:pStyle w:val="Heading2"/>
      </w:pPr>
      <w:r>
        <w:t>Soziale Risikofaktoren verbessern Vorhersage von kardiometabolischer Mehrfacherkrankung</w:t>
      </w:r>
    </w:p>
    <w:p>
      <w:r>
        <w:rPr>
          <w:i/>
          <w:color w:val="666666"/>
          <w:sz w:val="18"/>
        </w:rPr>
        <w:t>Anindya K et al.  ·  Sci Rep  ·  25.08.2026  ·  PMID 42642546</w:t>
      </w:r>
    </w:p>
    <w:p>
      <w:r>
        <w:t>Entwicklung eines Bayesianischen Vorhersagemodells für kardiometabolische Mehrfacherkrankung unter Einbeziehung sozialer Determinanten in 11.964 schwedischen Erwachsenen ohne Vorerkrankungen.</w:t>
      </w:r>
    </w:p>
    <w:p>
      <w:r>
        <w:rPr>
          <w:b/>
        </w:rPr>
        <w:t xml:space="preserve">Ergebnis: </w:t>
      </w:r>
      <w:r>
        <w:t>Während die Vorhersage für mindestens eine kardiometabolische Erkrankung fair war (AUC 0,76), zeigte sich für Mehrfacherkrankung (≥2 Erkrankungen) gute Diskriminanz (AUC 0,89). Höchste Risiken bei älteren Migranten mit Hypertonie und niedriger HDL (34,7% für beliebige Erkrankung, 4,4% für Mehrfacherkrankung).</w:t>
      </w:r>
    </w:p>
    <w:p>
      <w:r>
        <w:rPr>
          <w:b/>
          <w:sz w:val="19"/>
        </w:rPr>
        <w:t xml:space="preserve">Übertragbarkeit: </w:t>
      </w:r>
      <w:r>
        <w:rPr>
          <w:sz w:val="19"/>
        </w:rPr>
        <w:t>Schweden, vergleichbare Sozialversicherung und Präventionsstrukturen wie Deutschland.</w:t>
      </w:r>
    </w:p>
    <w:p>
      <w:r>
        <w:rPr>
          <w:color w:val="5A7D3A"/>
          <w:sz w:val="18"/>
        </w:rPr>
        <w:t>https://pubmed.ncbi.nlm.nih.gov/42642546/</w:t>
      </w:r>
    </w:p>
    <w:p>
      <w:pPr>
        <w:pStyle w:val="Heading2"/>
      </w:pPr>
      <w:r>
        <w:t>Schluckstörungen bei COPD – zwei Jahre Stabilität und Symptombelastung</w:t>
      </w:r>
    </w:p>
    <w:p>
      <w:r>
        <w:rPr>
          <w:i/>
          <w:color w:val="666666"/>
          <w:sz w:val="18"/>
        </w:rPr>
        <w:t>Gonzalez Lindh M et al.  ·  COPD  ·  28.07.2026  ·  PMID 42557931</w:t>
      </w:r>
    </w:p>
    <w:p>
      <w:r>
        <w:t>Prospektive Kohortenstudie mit 438 COPD-Patienten zu Stabilitätsmuster selbstberichteter Schluckstörungen über zwei Jahre und Assoziationen mit klinischen Ergebnissen.</w:t>
      </w:r>
    </w:p>
    <w:p>
      <w:r>
        <w:rPr>
          <w:b/>
        </w:rPr>
        <w:t xml:space="preserve">Ergebnis: </w:t>
      </w:r>
      <w:r>
        <w:t>Schluckstörungsprävalenz blieb stabil (32% auf 33%), vier Verlaufsmuster identifiziert: keine (59%), neu aufgetreten (8%), remittiert (8%), persistent (25%). Persistente Schluckstörung assoziiert mit höherer Dyspnoe, schlechterer körperlicher Leistung und häufigeren Exazerbationen. CAT-Wert ≥10 unabhängig mit Schluckstörung verbunden.</w:t>
      </w:r>
    </w:p>
    <w:p>
      <w:r>
        <w:rPr>
          <w:b/>
          <w:sz w:val="19"/>
        </w:rPr>
        <w:t xml:space="preserve">Übertragbarkeit: </w:t>
      </w:r>
      <w:r>
        <w:rPr>
          <w:sz w:val="19"/>
        </w:rPr>
        <w:t>Schweden, vergleichbare Primärversorgungsstrukturen, Screening in COPD-Routinefolge übertragbar.</w:t>
      </w:r>
    </w:p>
    <w:p>
      <w:r>
        <w:rPr>
          <w:color w:val="5A7D3A"/>
          <w:sz w:val="18"/>
        </w:rPr>
        <w:t>https://pubmed.ncbi.nlm.nih.gov/42557931/</w:t>
      </w:r>
    </w:p>
    <w:p>
      <w:pPr>
        <w:pStyle w:val="Heading2"/>
      </w:pPr>
      <w:r>
        <w:t>Hyperkaliämie-Management: Ärzte bevorzugen RAASi-Erhalt trotz Barrieren</w:t>
      </w:r>
    </w:p>
    <w:p>
      <w:r>
        <w:rPr>
          <w:i/>
          <w:color w:val="666666"/>
          <w:sz w:val="18"/>
        </w:rPr>
        <w:t>Gimenez-Stamminger N et al.  ·  PLoS One  ·  30.07.2026  ·  PMID 42531230</w:t>
      </w:r>
    </w:p>
    <w:p>
      <w:r>
        <w:t>Qualitative Studie mit 12 spanischen Nephrologen zu Strategien der Hyperkaliämie-Behandlung unter Beibehaltung von Renin-Angiotensin-Aldosteron-Inhibitor-Therapie bei CKD-Stadien 3-5.</w:t>
      </w:r>
    </w:p>
    <w:p>
      <w:r>
        <w:rPr>
          <w:b/>
        </w:rPr>
        <w:t xml:space="preserve">Ergebnis: </w:t>
      </w:r>
      <w:r>
        <w:t>Fünf Themen identifiziert: (1) strukturierter Behandlungsalgorithmus für RAASi-Erhalt, (2) neue Kaliumbinder (Patiromer, Natriumzirkonium-Zykliosilikat) als effektiv und besser verträglich, (3) Systembarrieren (Visado-Anforderungen, regionale Formularvarianz) limitieren Zugang, (4) Patientenengagement durch Kommunikation und Pflege-Edukation fördert Adhärenz, (5) Lebensqualität wird selten formal erfasst. Kernempfehlung: Vereinfachte Zugangsswege und verbesserte Multidisziplinarität nötig.</w:t>
      </w:r>
    </w:p>
    <w:p>
      <w:r>
        <w:rPr>
          <w:b/>
          <w:sz w:val="19"/>
        </w:rPr>
        <w:t xml:space="preserve">Übertragbarkeit: </w:t>
      </w:r>
      <w:r>
        <w:rPr>
          <w:sz w:val="19"/>
        </w:rPr>
        <w:t>Spanien, vergleichbares öffentliches Gesundheitssystem, direkt übertragbar für deutsches CKD-Management.</w:t>
      </w:r>
    </w:p>
    <w:p>
      <w:r>
        <w:rPr>
          <w:color w:val="5A7D3A"/>
          <w:sz w:val="18"/>
        </w:rPr>
        <w:t>https://pubmed.ncbi.nlm.nih.gov/42531230/</w:t>
      </w:r>
    </w:p>
    <w:p>
      <w:pPr>
        <w:pStyle w:val="Heading1"/>
      </w:pPr>
      <w:r>
        <w:t>Aufgenommen am 26.08.2026</w:t>
      </w:r>
    </w:p>
    <w:p>
      <w:pPr>
        <w:pStyle w:val="Heading2"/>
      </w:pPr>
      <w:r>
        <w:t>Geschlechtsspezifische Trajectories bei Typ-2-Diabetes: Psychische Erkrankungen bei Frauen häufiger</w:t>
      </w:r>
    </w:p>
    <w:p>
      <w:r>
        <w:rPr>
          <w:i/>
          <w:color w:val="666666"/>
          <w:sz w:val="18"/>
        </w:rPr>
        <w:t>Eto F et al.  ·  PLoS Med  ·  25.08.2026  ·  PMID 42640878</w:t>
      </w:r>
    </w:p>
    <w:p>
      <w:r>
        <w:t>Kohortenstudie mit 28.720 Personen in Großbritannien untersucht unterschiedliche Krankheitsverlaufsmuster nach Typ-2-Diabetes-Diagnose, unterschieden nach Geschlecht.</w:t>
      </w:r>
    </w:p>
    <w:p>
      <w:r>
        <w:rPr>
          <w:b/>
        </w:rPr>
        <w:t xml:space="preserve">Ergebnis: </w:t>
      </w:r>
      <w:r>
        <w:t>Bei Frauen traten psychische Erkrankungen post-Diabetes signifikant häufiger auf als bei Männern (8,1% vs. 5,3%), während Männer höhere Raten für Herz-Kreislauf- und Nierenerkrankungen zeigten (8,4% vs. 5,3%). Beide Geschlechter mit kombiniertem Diabetes und psychischer Erkrankung erlebten vorzeitige Sterblichkeit.</w:t>
      </w:r>
    </w:p>
    <w:p>
      <w:r>
        <w:rPr>
          <w:b/>
          <w:sz w:val="19"/>
        </w:rPr>
        <w:t xml:space="preserve">Übertragbarkeit: </w:t>
      </w:r>
      <w:r>
        <w:rPr>
          <w:sz w:val="19"/>
        </w:rPr>
        <w:t>UK-Register-Daten, vergleichbar mit deutschen Disease-Management-Strukturen zur geschlechtsspezifischen Therapieplanung.</w:t>
      </w:r>
    </w:p>
    <w:p>
      <w:r>
        <w:rPr>
          <w:color w:val="5A7D3A"/>
          <w:sz w:val="18"/>
        </w:rPr>
        <w:t>https://pubmed.ncbi.nlm.nih.gov/42640878/</w:t>
      </w:r>
    </w:p>
    <w:p>
      <w:pPr>
        <w:pStyle w:val="Heading2"/>
      </w:pPr>
      <w:r>
        <w:t>Post-COVID-Endotheldysfunktion verschärft sich bei Patienten mit ME/CFS-Kriterien: Retinale Gefäßanalyse zeigt Arteriolenkatheteropathie</w:t>
      </w:r>
    </w:p>
    <w:p>
      <w:r>
        <w:rPr>
          <w:i/>
          <w:color w:val="666666"/>
          <w:sz w:val="18"/>
        </w:rPr>
        <w:t>Wallraven T et al.  ·  BMC Med  ·  19.08.2026  ·  PMID 42625188</w:t>
      </w:r>
    </w:p>
    <w:p>
      <w:r>
        <w:t>Prospektive Beobachtungsstudie mit 300 Teilnehmern (96 nie infiziert, 102 genesen, 102 mit Post-COVID-Syndrom, davon 62 mit ME/CFS-Kriterien) untersucht Mikrozirkulation mittels retinaler Gefäßanalyse.</w:t>
      </w:r>
    </w:p>
    <w:p>
      <w:r>
        <w:rPr>
          <w:b/>
        </w:rPr>
        <w:t xml:space="preserve">Ergebnis: </w:t>
      </w:r>
      <w:r>
        <w:t>Patienten mit Post-COVID zeigten reduzierte Venendilation (3,7% ± 2,2 vs. 4,8% ± 3,0, p=0,006), engere retinale Arteriolen (CRAE: 178,3 ± 15,5 vs. 186,1 ± 15,7 μm, p=0,001) und niedrigere Arteriol-Venol-Verhältnisse als Genesene (0,83 ± 0,06 vs. 0,86 ± 0,07, p&lt;0,001). Patienten mit ME/CFS-Kriterien zeigten stärkste Veränderungen (AUC 0,79).</w:t>
      </w:r>
    </w:p>
    <w:p>
      <w:r>
        <w:rPr>
          <w:b/>
          <w:sz w:val="19"/>
        </w:rPr>
        <w:t xml:space="preserve">Übertragbarkeit: </w:t>
      </w:r>
      <w:r>
        <w:rPr>
          <w:sz w:val="19"/>
        </w:rPr>
        <w:t>Multinationale Studie (Deutschland, Schweiz); relevanter für Versorgungsfragen zu Post-COVID-Rehabilitationsbedarfen.</w:t>
      </w:r>
    </w:p>
    <w:p>
      <w:r>
        <w:rPr>
          <w:color w:val="5A7D3A"/>
          <w:sz w:val="18"/>
        </w:rPr>
        <w:t>https://pubmed.ncbi.nlm.nih.gov/42625188/</w:t>
      </w:r>
    </w:p>
    <w:p>
      <w:pPr>
        <w:pStyle w:val="Heading1"/>
      </w:pPr>
      <w:r>
        <w:t>Aufgenommen am 24.08.2026</w:t>
      </w:r>
    </w:p>
    <w:p>
      <w:pPr>
        <w:pStyle w:val="Heading2"/>
      </w:pPr>
      <w:r>
        <w:t>Kontinuität der Versorgung senkt Krankenhauseinweisungen und Sterblichkeit bei COPD um 25–63 %</w:t>
      </w:r>
    </w:p>
    <w:p>
      <w:r>
        <w:rPr>
          <w:i/>
          <w:color w:val="666666"/>
          <w:sz w:val="18"/>
        </w:rPr>
        <w:t>Ko J et al.  ·  Int J Chron Obstruct Pulmon Dis  ·  18.08.2026  ·  PMID 42633418</w:t>
      </w:r>
    </w:p>
    <w:p>
      <w:r>
        <w:t>Retrospektive südkoreanische Kohortenstudie mit 29.316 neu diagnostizierten COPD-Patienten aus nationalen Versicherungsdaten 2002–2019 zur Wirkung der Versorgungskontinuität (CoC) auf Krankenhauseinweisungen und Sterblichkeit.</w:t>
      </w:r>
    </w:p>
    <w:p>
      <w:r>
        <w:rPr>
          <w:b/>
        </w:rPr>
        <w:t xml:space="preserve">Ergebnis: </w:t>
      </w:r>
      <w:r>
        <w:t>Niedrige CoC-Werte (&lt;0,7) assoziiert mit erhöhtem Risiko für 3-Jahres-Exazerbations-Krankenhauseinweisung (HR 1,63, 95% CI 1,45–1,83) und allgemeine Mortalität (HR 1,25, 95% CI 1,11–1,40) vs. hohe CoC. Progressiv: Intermediate CoC (0,4–0,7) HR 1,61 für Einweisungen und 1,24 für Mortalität; sehr niedrig (&lt;0,4) HR 1,65 und 1,26. Notaufnahmen HR 1,48, allgemeine Hospitalisierungen HR 1,70 bei niedriger CoC. Befunde konsistent über alternative Kontinuitäts-Indizes. Fragmentierte ambulante Versorgung erhöht vermeidbare Krankenhaus-Kontakte und Todesfälle erheblich.</w:t>
      </w:r>
    </w:p>
    <w:p>
      <w:r>
        <w:rPr>
          <w:b/>
          <w:sz w:val="19"/>
        </w:rPr>
        <w:t xml:space="preserve">Übertragbarkeit: </w:t>
      </w:r>
      <w:r>
        <w:rPr>
          <w:sz w:val="19"/>
        </w:rPr>
        <w:t>Südkorea, nationale Versicherungsdaten, zeigt Bedeutung von Kontinuität unabhängig vom Finanzsystem</w:t>
      </w:r>
    </w:p>
    <w:p>
      <w:r>
        <w:rPr>
          <w:color w:val="5A7D3A"/>
          <w:sz w:val="18"/>
        </w:rPr>
        <w:t>https://pubmed.ncbi.nlm.nih.gov/42633418/</w:t>
      </w:r>
    </w:p>
    <w:p>
      <w:pPr>
        <w:pStyle w:val="Heading1"/>
      </w:pPr>
      <w:r>
        <w:t>Aufgenommen am 23.08.2026</w:t>
      </w:r>
    </w:p>
    <w:p>
      <w:pPr>
        <w:pStyle w:val="Heading2"/>
      </w:pPr>
      <w:r>
        <w:t>Mehrfacherkrankung bei Vorhofflimmern nimmt zu: Gepräge und Verlauf stark heterogen</w:t>
      </w:r>
    </w:p>
    <w:p>
      <w:r>
        <w:rPr>
          <w:i/>
          <w:color w:val="666666"/>
          <w:sz w:val="18"/>
        </w:rPr>
        <w:t>Reinilä S et al.  ·  Eur J Clin Invest  ·  Aug. 2026  ·  PMID 42629441</w:t>
      </w:r>
    </w:p>
    <w:p>
      <w:r>
        <w:t>Finnische Kohorte aller Patienten mit neu diagnostiziertem Vorhofflimmern 2009–2018 (n=196.536); Erfassung von Begleiterkrankungen über nationale Register mit 5-Jahres-Lookback.</w:t>
      </w:r>
    </w:p>
    <w:p>
      <w:r>
        <w:rPr>
          <w:b/>
        </w:rPr>
        <w:t xml:space="preserve">Ergebnis: </w:t>
      </w:r>
      <w:r>
        <w:t>85% hatten ≥2 Begleiterkrankungsgruppen, 28% ≥6 Gruppen. Mittlere Anzahl von Diagnosegruppen stieg von 3,9 auf 4,2 Gruppen (2009–2018); nach Adjustment für Alter signifikant. Mehrfacherkrankung war bei Frauen häufiger (4,2 vs. 3,9 Gruppen) und nahm mit dem Alter zu. Häufigste Begleiterkrankungen: Hypertonie, Stoffwechselerkrankungen, Diabetes, andere kardiovaskuläre Erkrankungen. Eine bedeutende Versorgungsherausforderung mit wachsendem Bedarf für ganzheitliche Behandlung.</w:t>
      </w:r>
    </w:p>
    <w:p>
      <w:r>
        <w:rPr>
          <w:b/>
          <w:sz w:val="19"/>
        </w:rPr>
        <w:t xml:space="preserve">Übertragbarkeit: </w:t>
      </w:r>
      <w:r>
        <w:rPr>
          <w:sz w:val="19"/>
        </w:rPr>
        <w:t>Finnland, vergleichbares nordisches Gesundheitssystem, nationale Registerdaten</w:t>
      </w:r>
    </w:p>
    <w:p>
      <w:r>
        <w:rPr>
          <w:color w:val="5A7D3A"/>
          <w:sz w:val="18"/>
        </w:rPr>
        <w:t>https://pubmed.ncbi.nlm.nih.gov/42629441/</w:t>
      </w:r>
    </w:p>
    <w:p>
      <w:pPr>
        <w:pStyle w:val="Heading1"/>
      </w:pPr>
      <w:r>
        <w:t>Aufgenommen am 22.08.2026</w:t>
      </w:r>
    </w:p>
    <w:p>
      <w:pPr>
        <w:pStyle w:val="Heading2"/>
      </w:pPr>
      <w:r>
        <w:t>HAQ-DI-basierte Screening identifiziert Hochrisiko-Phänotyp mit funktioneller Behinderung in COPD</w:t>
      </w:r>
    </w:p>
    <w:p>
      <w:r>
        <w:rPr>
          <w:i/>
          <w:color w:val="666666"/>
          <w:sz w:val="18"/>
        </w:rPr>
        <w:t>Rogier J et al.  ·  Int J Chron Obstruct Pulmon Dis  ·  15.08.2026  ·  PMID 42621973</w:t>
      </w:r>
    </w:p>
    <w:p>
      <w:r>
        <w:t>Französische Kohortenstudie (n=117) der funktionalen Behinderung bei COPD-Patienten mittels Health Assessment Questionnaire – Disability Index (HAQ-DI) in Relation zu Krankheitsschwere und Krankheitslast.</w:t>
      </w:r>
    </w:p>
    <w:p>
      <w:r>
        <w:rPr>
          <w:b/>
        </w:rPr>
        <w:t xml:space="preserve">Ergebnis: </w:t>
      </w:r>
      <w:r>
        <w:t>Patienten mit COPD GOLD 3–4 zeigten höhere HAQ-DI-Werte als GOLD 1–2 (0,50 vs. 0,25, p=0,015); 20 Patienten (17,1%) erfüllten Kriterien für "Hochfunktionelle Behinderung" (HAQ-DI ≥1) mit ungünstigeren Prognose-Markern; HAQ-DI korrelierte mit Exazerbationen, Dyspnoe und Krankheitslast (alle p&lt;0,001). HAQ-DI ist ein praktisches Screening-Instrument zur Identifizierung von Patienten mit hohem funktionellem Risiko, die von Rehabilitations- und psychologischem Support profitieren könnten.</w:t>
      </w:r>
    </w:p>
    <w:p>
      <w:r>
        <w:rPr>
          <w:b/>
          <w:sz w:val="19"/>
        </w:rPr>
        <w:t xml:space="preserve">Übertragbarkeit: </w:t>
      </w:r>
      <w:r>
        <w:rPr>
          <w:sz w:val="19"/>
        </w:rPr>
        <w:t>Frankreich, vergleichbare Dokumentation von Komorbiditäten und Funktionalität</w:t>
      </w:r>
    </w:p>
    <w:p>
      <w:r>
        <w:rPr>
          <w:color w:val="5A7D3A"/>
          <w:sz w:val="18"/>
        </w:rPr>
        <w:t>https://pubmed.ncbi.nlm.nih.gov/42621973/</w:t>
      </w:r>
    </w:p>
    <w:p>
      <w:pPr>
        <w:pStyle w:val="Heading2"/>
      </w:pPr>
      <w:r>
        <w:t>SMART-Youth: Longitudinale Kohortenstudie zu kardiovaskulären Risikofaktoren für subklinische Atherosklerose bei Kindern mit chronischen Erkrankungen</w:t>
      </w:r>
    </w:p>
    <w:p>
      <w:r>
        <w:rPr>
          <w:i/>
          <w:color w:val="666666"/>
          <w:sz w:val="18"/>
        </w:rPr>
        <w:t>van der Linden IA et al.  ·  BMJ Open  ·  13.08.2026  ·  PMID 42595358</w:t>
      </w:r>
    </w:p>
    <w:p>
      <w:r>
        <w:t>Prospektive longitudinale Kohortenstudie in niederländischem Universitätskrankenhaus (geplant n&gt;2000, 8–18 Jahre) zu krankheits- und lebensstilassoziierten kardiovaskulären Risikofaktoren für subklinische Atherosklerose bei Kindern mit diversen chronischen Erkrankungen (CF, JIA, CKD, IBD, angeborene Herzerkrankung etc.); Rekrutierung seit August 2024.</w:t>
      </w:r>
    </w:p>
    <w:p>
      <w:r>
        <w:rPr>
          <w:b/>
        </w:rPr>
        <w:t xml:space="preserve">Ergebnis: </w:t>
      </w:r>
      <w:r>
        <w:t>Baseline-Charakterisierung: Erfassung von Blutdruck, BMI, Lipiden, HbA1c, CRP; Messung von Karotis-Intima-Media-Dicke, Karotis-Distension und Karotis-Femoral-Pulswellen-Geschwindigkeit bei Baseline, 2-Jahr-Follow-up und Alter 17–18 Jahren. Primärer Fokus: langfristige Assoziationen zwischen kardiovaskulären Risikofaktoren und früher subklinischer Atherosklerose bei chronisch erkrankten Kindern zur Risikostratifizierung und Früherkennung.</w:t>
      </w:r>
    </w:p>
    <w:p>
      <w:r>
        <w:rPr>
          <w:b/>
          <w:sz w:val="19"/>
        </w:rPr>
        <w:t xml:space="preserve">Übertragbarkeit: </w:t>
      </w:r>
      <w:r>
        <w:rPr>
          <w:sz w:val="19"/>
        </w:rPr>
        <w:t>Niederlande, Universitätskrankenhaus in vergleichbarem System; Mehrfacherkrankungen-Fokus bei Kindern</w:t>
      </w:r>
    </w:p>
    <w:p>
      <w:r>
        <w:rPr>
          <w:color w:val="5A7D3A"/>
          <w:sz w:val="18"/>
        </w:rPr>
        <w:t>https://pubmed.ncbi.nlm.nih.gov/42595358/</w:t>
      </w:r>
    </w:p>
    <w:p>
      <w:pPr>
        <w:pStyle w:val="Heading1"/>
      </w:pPr>
      <w:r>
        <w:t>Aufgenommen am 21.08.2026</w:t>
      </w:r>
    </w:p>
    <w:p>
      <w:pPr>
        <w:pStyle w:val="Heading2"/>
      </w:pPr>
      <w:r>
        <w:t>Self-Management-Interventionen zeigen Verbesserung in Verhalten, aber nicht in Lebensqualität bei Mehrfacherkrankung</w:t>
      </w:r>
    </w:p>
    <w:p>
      <w:r>
        <w:rPr>
          <w:i/>
          <w:color w:val="666666"/>
          <w:sz w:val="18"/>
        </w:rPr>
        <w:t>Hopwood E et al.  ·  J Eval Clin Pract  ·  Aug. 2026  ·  PMID 42623506</w:t>
      </w:r>
    </w:p>
    <w:p>
      <w:r>
        <w:t>Systematische Übersicht von 28 Studien zu Wirksamkeit und Erfahrungen mit Self-Management-Interventionen für Erwachsene mit Mehrfacherkrankung (quantitativ und qualitativ).</w:t>
      </w:r>
    </w:p>
    <w:p>
      <w:r>
        <w:rPr>
          <w:b/>
        </w:rPr>
        <w:t xml:space="preserve">Ergebnis: </w:t>
      </w:r>
      <w:r>
        <w:t>Quantitative Evidenz zeigte bescheidene Verbesserungen in spezifischen Self-Management-Verhaltensweisen (gesundheitsorientierte Aktivitäten, Selbstmonitoring), aber wenig bis kein Effekt auf Lebensqualität oder psychologische Outcomes. Qualitative Befunde deuteten auf subjektive Verbesserungen in Lebensqualität und psychischer Gesundheit hin – Diskrepanz unterstreicht Bedarf nach validierten Mehrfacherkrankungs-spezifischen Outcome-Maßen.</w:t>
      </w:r>
    </w:p>
    <w:p>
      <w:r>
        <w:rPr>
          <w:b/>
          <w:sz w:val="19"/>
        </w:rPr>
        <w:t xml:space="preserve">Übertragbarkeit: </w:t>
      </w:r>
      <w:r>
        <w:rPr>
          <w:sz w:val="19"/>
        </w:rPr>
        <w:t>Internationale Evidenz, vorwiegend europäisch, direkt auf Primärversorgung übertragbar</w:t>
      </w:r>
    </w:p>
    <w:p>
      <w:r>
        <w:rPr>
          <w:color w:val="5A7D3A"/>
          <w:sz w:val="18"/>
        </w:rPr>
        <w:t>https://pubmed.ncbi.nlm.nih.gov/42623506/</w:t>
      </w:r>
    </w:p>
    <w:p>
      <w:pPr>
        <w:pStyle w:val="Heading2"/>
      </w:pPr>
      <w:r>
        <w:t>Digitales Multikomponent-Programm reduziert Angst und Depression bei Mehrfacherkrankung um 2,6–2,9 Punkte auf HADS</w:t>
      </w:r>
    </w:p>
    <w:p>
      <w:r>
        <w:rPr>
          <w:i/>
          <w:color w:val="666666"/>
          <w:sz w:val="18"/>
        </w:rPr>
        <w:t>Johnson E et al.  ·  PLoS Med  ·  20.08.2026  ·  PMID 42623335</w:t>
      </w:r>
    </w:p>
    <w:p>
      <w:r>
        <w:t>Dreiarmige randomisierte Studie (825 Patienten über 13 Länder, online durchgeführt 2023–2024) zu Effekt eines digitalen Programms mit oder ohne menschliche Unterstützung versus Warteliste bei Angst und Depression bei chronischen Erkrankungen.</w:t>
      </w:r>
    </w:p>
    <w:p>
      <w:r>
        <w:rPr>
          <w:b/>
        </w:rPr>
        <w:t xml:space="preserve">Ergebnis: </w:t>
      </w:r>
      <w:r>
        <w:t>Primärer Vergleich (eMPower + Human Support vs. Kontrolle): HADS-Gesamtscore verbesserte sich um 2,9 Punkte (95%-KI 2,0–3,8; p&lt;0,001). Self-directed eMPower zeigte ähnliche Verbesserung (2,6 Punkte; 95%-KI 1,8–3,5; p&lt;0,001); kein signifikanter Unterschied zwischen Interventionen. Verbesserungen auch bei Müdigkeit (MFIS) und Lebensqualität (SF-12, EQ-5D-5L). Keine unerwünschten Ereignisse berichtet.</w:t>
      </w:r>
    </w:p>
    <w:p>
      <w:r>
        <w:rPr>
          <w:b/>
          <w:sz w:val="19"/>
        </w:rPr>
        <w:t xml:space="preserve">Übertragbarkeit: </w:t>
      </w:r>
      <w:r>
        <w:rPr>
          <w:sz w:val="19"/>
        </w:rPr>
        <w:t>Internetbasiert, international, aber auf Mehrfacherkrankung generell bezogen, gute Übertragbarkeit</w:t>
      </w:r>
    </w:p>
    <w:p>
      <w:r>
        <w:rPr>
          <w:color w:val="5A7D3A"/>
          <w:sz w:val="18"/>
        </w:rPr>
        <w:t>https://pubmed.ncbi.nlm.nih.gov/42623335/</w:t>
      </w:r>
    </w:p>
    <w:p>
      <w:pPr>
        <w:pStyle w:val="Heading2"/>
      </w:pPr>
      <w:r>
        <w:t>Psychische Erkrankungen mit 1,85- bis 3,16-fach erhöhtem Risiko für systemische Mehrfacherkrankung bei jungen Frauen</w:t>
      </w:r>
    </w:p>
    <w:p>
      <w:r>
        <w:rPr>
          <w:i/>
          <w:color w:val="666666"/>
          <w:sz w:val="18"/>
        </w:rPr>
        <w:t>Halstead S et al.  ·  Lancet Psychiatry  ·  Sept. 2026  ·  PMID 42586082</w:t>
      </w:r>
    </w:p>
    <w:p>
      <w:r>
        <w:t>Kohortenstudie mit 30.189 Patienten mit Schizophrenie-Spektrum/bipolaren Störungen und 148.476 Kontrollen (Queensland, Australien, 2000–2023) zu Inzidenz und absoluten Unterschieden in systemischer Mehrfacherkrankung (Multiple Systeme betroffen).</w:t>
      </w:r>
    </w:p>
    <w:p>
      <w:r>
        <w:rPr>
          <w:b/>
        </w:rPr>
        <w:t xml:space="preserve">Ergebnis: </w:t>
      </w:r>
      <w:r>
        <w:t>Relative Inzidenz der Mehrfacherkrankung signifikant erhöht: mindestens ein System HR=1,85 (95%-KI 1,81–1,88), fünf Systeme HR=3,16 (95%-KI 3,01–3,30). Bei 20 Jahren absolute Cumulative-Incidence-Unterschiede: 9,79 zusätzliche Fälle pro 100 Personen (≥1 System), höchste Effekte bei Frauen &lt;25 Jahren (HR=9,24 für ≥5 Systeme; 95%-KI 7,30–11,71).</w:t>
      </w:r>
    </w:p>
    <w:p>
      <w:r>
        <w:rPr>
          <w:b/>
          <w:sz w:val="19"/>
        </w:rPr>
        <w:t xml:space="preserve">Übertragbarkeit: </w:t>
      </w:r>
      <w:r>
        <w:rPr>
          <w:sz w:val="19"/>
        </w:rPr>
        <w:t>Australien (vergleichbar mit Mittelsystemländern), großes Register, aber klinisches Risikoprofil generell übertragbar</w:t>
      </w:r>
    </w:p>
    <w:p>
      <w:r>
        <w:rPr>
          <w:color w:val="5A7D3A"/>
          <w:sz w:val="18"/>
        </w:rPr>
        <w:t>https://pubmed.ncbi.nlm.nih.gov/42586082/</w:t>
      </w:r>
    </w:p>
    <w:p>
      <w:pPr>
        <w:pStyle w:val="Heading1"/>
      </w:pPr>
      <w:r>
        <w:t>Aufgenommen am 20.08.2026</w:t>
      </w:r>
    </w:p>
    <w:p>
      <w:pPr>
        <w:pStyle w:val="Heading2"/>
      </w:pPr>
      <w:r>
        <w:t>COPD mit Typ-2-Entzündung und Exazerbationen trotz Dreifachtherapie – 3-fach höhere Kosten und Hospitalisierungsrate</w:t>
      </w:r>
    </w:p>
    <w:p>
      <w:r>
        <w:rPr>
          <w:i/>
          <w:color w:val="666666"/>
          <w:sz w:val="18"/>
        </w:rPr>
        <w:t>Narendra DK et al.  ·  Int J Chron Obstruct Pulmon Dis  ·  13.08.2026  ·  PMID 42609821</w:t>
      </w:r>
    </w:p>
    <w:p>
      <w:r>
        <w:t>Retrospektive Analyse der Optum-Datenbank (über 28 Millionen Versicherte, USA) zu Exazerbationen und Versorgungslast bei COPD-Patienten mit Typ-2-Entzündung (erhöhte Eosinophile) und Exazerbationshistorie trotz Dreifachtherapie.</w:t>
      </w:r>
    </w:p>
    <w:p>
      <w:r>
        <w:rPr>
          <w:b/>
        </w:rPr>
        <w:t xml:space="preserve">Ergebnis: </w:t>
      </w:r>
      <w:r>
        <w:t>Bei 13.840 Patienten (6.389 mit Exazerbationen und Eosinophile ≥150 Zellen/μL): durchschnittlich 1,58 COPD-Exazerbationen/Jahr vs. 0,52 in der Kontrollgruppe; um ~6.700 USD höhere jährliche Kosten; höhere Notaufnahme- und Hospitalisierungsraten trotz optimierter medikamentöser Therapie. Ungedeckter Versorgungsbedarf.</w:t>
      </w:r>
    </w:p>
    <w:p>
      <w:r>
        <w:rPr>
          <w:b/>
          <w:sz w:val="19"/>
        </w:rPr>
        <w:t xml:space="preserve">Übertragbarkeit: </w:t>
      </w:r>
      <w:r>
        <w:rPr>
          <w:sz w:val="19"/>
        </w:rPr>
        <w:t>USA-Daten; Effektivitätsbefund (Exazerbationslast trotz optimaler medikamentöser Versorgung) übertragbar auf Deutschland.</w:t>
      </w:r>
    </w:p>
    <w:p>
      <w:r>
        <w:rPr>
          <w:color w:val="5A7D3A"/>
          <w:sz w:val="18"/>
        </w:rPr>
        <w:t>https://pubmed.ncbi.nlm.nih.gov/42609821/</w:t>
      </w:r>
    </w:p>
    <w:p>
      <w:pPr>
        <w:pStyle w:val="Heading2"/>
      </w:pPr>
      <w:r>
        <w:t>Cluster-Analyse identifiziert sechs Subtypen hochgradig multimorbider Patienten für gezielte Interventionen im englischen Gesundheitssystem</w:t>
      </w:r>
    </w:p>
    <w:p>
      <w:r>
        <w:rPr>
          <w:i/>
          <w:color w:val="666666"/>
          <w:sz w:val="18"/>
        </w:rPr>
        <w:t>Wood RM et al.  ·  Health Care Manag Sci  ·  07.08.2026  ·  PMID 42566017</w:t>
      </w:r>
    </w:p>
    <w:p>
      <w:r>
        <w:t>Clusteranalyse von 19.520 Hochmorbidität-Patienten (top 3% von 1 Million Versicherten, &gt;1/5 der Kosten) in Bristol, um heterogene Subgruppen und entsprechende Versorgungsziele zu definieren.</w:t>
      </w:r>
    </w:p>
    <w:p>
      <w:r>
        <w:rPr>
          <w:b/>
        </w:rPr>
        <w:t xml:space="preserve">Ergebnis: </w:t>
      </w:r>
      <w:r>
        <w:t>Sechs Cluster identifiziert: Ältere ohne Demenz (n=1.243); Krebs (n=1.055); Jünger/komplex (n=2.199); Atemwege (n=4.743); Kardiovaskulär (n=6.140); Demenz (n=4.579). Jeder Cluster erhielt wertbasierte Versorgungsziele und spezifische klinische Managemententscheidungen. Heterogenität innerhalb der Hochmorbidität erfordert maßgeschneiderte Interventionen.</w:t>
      </w:r>
    </w:p>
    <w:p>
      <w:r>
        <w:rPr>
          <w:b/>
          <w:sz w:val="19"/>
        </w:rPr>
        <w:t xml:space="preserve">Übertragbarkeit: </w:t>
      </w:r>
      <w:r>
        <w:rPr>
          <w:sz w:val="19"/>
        </w:rPr>
        <w:t>Vereinigtes Königreich, NHS-Struktur, ähnliche Versorgungsmotivation.</w:t>
      </w:r>
    </w:p>
    <w:p>
      <w:r>
        <w:rPr>
          <w:color w:val="5A7D3A"/>
          <w:sz w:val="18"/>
        </w:rPr>
        <w:t>https://pubmed.ncbi.nlm.nih.gov/42566017/</w:t>
      </w:r>
    </w:p>
    <w:p>
      <w:pPr>
        <w:pStyle w:val="Heading2"/>
      </w:pPr>
      <w:r>
        <w:t>Capability Cards unterstützen personzentrierte Gespräche bei Mehrfacherkrankungen in spanischer Primärversorgung – validiert</w:t>
      </w:r>
    </w:p>
    <w:p>
      <w:r>
        <w:rPr>
          <w:i/>
          <w:color w:val="666666"/>
          <w:sz w:val="18"/>
        </w:rPr>
        <w:t>Llubes-Arrià L et al.  ·  Prim Health Care Res Dev  ·  06.08.2026  ·  PMID 42559972</w:t>
      </w:r>
    </w:p>
    <w:p>
      <w:r>
        <w:t>Methodische Validierungsstudie der spanischen Übersetzung und kulturellen Anpassung der Capability Cards als Werkzeug für Patienten mit Mehrfacherkrankung in spanischen Gemeinschaftspraxen.</w:t>
      </w:r>
    </w:p>
    <w:p>
      <w:r>
        <w:rPr>
          <w:b/>
        </w:rPr>
        <w:t xml:space="preserve">Ergebnis: </w:t>
      </w:r>
      <w:r>
        <w:t>Hohe inhaltsliche Validität in allen Gruppen (Content Validity Index: Experten 0,88; Fachkräfte 0,96; Zielpopulation 0,98); ausgezeichnete Usability (System Usability Scale). Capability Cards zeigten starke kulturelle Angemessenheit und Eignung für strukturierte, personzentrierte Gespräche zur Förderung von Empowerment und partizipatorischer Versorgung bei Mehrfacherkrankung.</w:t>
      </w:r>
    </w:p>
    <w:p>
      <w:r>
        <w:rPr>
          <w:b/>
          <w:sz w:val="19"/>
        </w:rPr>
        <w:t xml:space="preserve">Übertragbarkeit: </w:t>
      </w:r>
      <w:r>
        <w:rPr>
          <w:sz w:val="19"/>
        </w:rPr>
        <w:t>Spanien, ambulante Primärversorgung ähnlich Deutschland.</w:t>
      </w:r>
    </w:p>
    <w:p>
      <w:r>
        <w:rPr>
          <w:color w:val="5A7D3A"/>
          <w:sz w:val="18"/>
        </w:rPr>
        <w:t>https://pubmed.ncbi.nlm.nih.gov/42559972/</w:t>
      </w:r>
    </w:p>
    <w:p>
      <w:pPr>
        <w:pStyle w:val="Heading1"/>
      </w:pPr>
      <w:r>
        <w:t>Aufgenommen am 19.08.2026</w:t>
      </w:r>
    </w:p>
    <w:p>
      <w:pPr>
        <w:pStyle w:val="Heading2"/>
      </w:pPr>
      <w:r>
        <w:t>Hybrid-Versorgung für COPD-Patienten mit hohem Risiko: Pflegeleitung, Personalisierung und digitale Unterstützung zeigen Machbarkeit</w:t>
      </w:r>
    </w:p>
    <w:p>
      <w:r>
        <w:rPr>
          <w:i/>
          <w:color w:val="666666"/>
          <w:sz w:val="18"/>
        </w:rPr>
        <w:t>Gómez-López A et al.  ·  J Med Internet Res  ·  18.08.2026  ·  PMID 42612086</w:t>
      </w:r>
    </w:p>
    <w:p>
      <w:r>
        <w:t>Co-Design-Studie in Barcelona mit vier PDSA-Zyklen zur Operationalisierung einer Hybrid-Care-Intervention (Pflege vor Ort, Personalisierung, digitale Unterstützung) für Patienten mit COPD, Asthma und Bronchiektasen bei exazerbierter und stabiler Erkrankung.</w:t>
      </w:r>
    </w:p>
    <w:p>
      <w:r>
        <w:rPr>
          <w:b/>
        </w:rPr>
        <w:t xml:space="preserve">Ergebnis: </w:t>
      </w:r>
      <w:r>
        <w:t>Am Ende PDSA-3 (August 2025) wurde Operationalisierung dreier Kernkomponenten erreicht: (1) Nurse-Led-Versorgung vor Ort, (2) Personalisierung der Intervention, (3) fortgeschrittene digitale Unterstützung. Konsens unter allen Stakeholdern zu Anwendbarkeit im klinisch stabilen und exazerbiertem Zustand sowie zu kurzfristiger Implementierungs- und nachhaltiger Übernahmestrategie.</w:t>
      </w:r>
    </w:p>
    <w:p>
      <w:r>
        <w:rPr>
          <w:b/>
          <w:sz w:val="19"/>
        </w:rPr>
        <w:t xml:space="preserve">Übertragbarkeit: </w:t>
      </w:r>
      <w:r>
        <w:rPr>
          <w:sz w:val="19"/>
        </w:rPr>
        <w:t>Spanien, katalanisches Gesundheitssystem – Erkenntnisse zur Integration digitaler Tools in koordinierte Versorgung relevant</w:t>
      </w:r>
    </w:p>
    <w:p>
      <w:r>
        <w:rPr>
          <w:color w:val="5A7D3A"/>
          <w:sz w:val="18"/>
        </w:rPr>
        <w:t>https://pubmed.ncbi.nlm.nih.gov/42612086/</w:t>
      </w:r>
    </w:p>
    <w:p>
      <w:pPr>
        <w:pStyle w:val="Heading2"/>
      </w:pPr>
      <w:r>
        <w:t>Patienten mit eosinophiler COPD und Exazerbationen haben hohes Hospitalisierungs- und Kostenrisiko trotz Dreifachtherapie</w:t>
      </w:r>
    </w:p>
    <w:p>
      <w:r>
        <w:rPr>
          <w:i/>
          <w:color w:val="666666"/>
          <w:sz w:val="18"/>
        </w:rPr>
        <w:t>Di Giorgi N et al.  ·  Int J Chron Obstruct Pulmon Dis  ·  13.08.2026  ·  PMID 42609817</w:t>
      </w:r>
    </w:p>
    <w:p>
      <w:r>
        <w:t>Reale-Welt-Datenanalyse von 3.279 COPD-Patienten in einem italienischen Tertiärkrankenhaus zur Identifikation von Patienten mit erhöhten Eosinophilen, die für zielgerichtete biologische Therapien (Dupilumab) infrage kommen.</w:t>
      </w:r>
    </w:p>
    <w:p>
      <w:r>
        <w:rPr>
          <w:b/>
        </w:rPr>
        <w:t xml:space="preserve">Ergebnis: </w:t>
      </w:r>
      <w:r>
        <w:t>Unter 224 Patienten mit Exazerbationen unter Dreifachtherapie hatten 87 (38,8 %) mindestens eine Eosinophilenzahl ≥300 Zellen/µL (Median-Messwerte 210 [IQR 130–335] Zellen/µL). Patienten mit EOS ≥300 gegenüber &lt;300: höhere Krankenhausaufnahmen (23,0 % vs. 12,2 %; p=0,005), größere Komorbiditätslast (71,3 % kardiovaskulär, 59,8 % metabolisch), numerisch höhere Gesamtsterblichkeit (19,5 % vs. 13,0 %, nicht signifikant), mehr jährliche Kontakte (4,5 vs. 3,0; p&lt;0,001).</w:t>
      </w:r>
    </w:p>
    <w:p>
      <w:r>
        <w:rPr>
          <w:b/>
          <w:sz w:val="19"/>
        </w:rPr>
        <w:t xml:space="preserve">Übertragbarkeit: </w:t>
      </w:r>
      <w:r>
        <w:rPr>
          <w:sz w:val="19"/>
        </w:rPr>
        <w:t>Italien, vergleichbares europäisches Krankenversicherungssystem; Eosinophil-Monitoring zur Therapiesteuerung</w:t>
      </w:r>
    </w:p>
    <w:p>
      <w:r>
        <w:rPr>
          <w:color w:val="5A7D3A"/>
          <w:sz w:val="18"/>
        </w:rPr>
        <w:t>https://pubmed.ncbi.nlm.nih.gov/42609817/</w:t>
      </w:r>
    </w:p>
    <w:p>
      <w:pPr>
        <w:pStyle w:val="Heading2"/>
      </w:pPr>
      <w:r>
        <w:t>Strukturierte Transitionsversorgung erhöht Übergangsbereitschaft junger Erwachsener mit chronischen Erkrankungen (COCCOS-Protokoll)</w:t>
      </w:r>
    </w:p>
    <w:p>
      <w:r>
        <w:rPr>
          <w:i/>
          <w:color w:val="666666"/>
          <w:sz w:val="18"/>
        </w:rPr>
        <w:t>Van Wilder L et al.  ·  PLoS One  ·  17.08.2026  ·  PMID 42607051</w:t>
      </w:r>
    </w:p>
    <w:p>
      <w:r>
        <w:t>Protokoll einer quasi-experimentellen Studie zur Evaluation eines co-gestalteten Übergangsprogramms von Kindermedizin zu Erwachsenenmedizin bei Patienten mit Typ-1-Diabetes, Asthma oder Adipositas in Belgien.</w:t>
      </w:r>
    </w:p>
    <w:p>
      <w:r>
        <w:rPr>
          <w:b/>
        </w:rPr>
        <w:t xml:space="preserve">Ergebnis: </w:t>
      </w:r>
      <w:r>
        <w:t>Ziel ist Test von vier strukturierten Konsultationen über 13–16 Monate. Primäres Outcome: Transition Readiness Assessment Questionnaire. Sekundäroutcomes: Patient Empowerment, Therapietreue, gesundheitsbezogene Lebensqualität, psychische Gesundheit. Kosteneffektivität aus Payer-Perspektive mit Quality-Adjusted Life Years gemessen. Mixed-Methods-Prozessevaluationen geplant. Im Stadium PDSA-3 (August 2025); Ergebnisse erwartet 2027.</w:t>
      </w:r>
    </w:p>
    <w:p>
      <w:r>
        <w:rPr>
          <w:b/>
          <w:sz w:val="19"/>
        </w:rPr>
        <w:t xml:space="preserve">Übertragbarkeit: </w:t>
      </w:r>
      <w:r>
        <w:rPr>
          <w:sz w:val="19"/>
        </w:rPr>
        <w:t>Belgien, ähnliche Versicherungssysteme und Versorgungspfade wie deutschsprachiger Raum</w:t>
      </w:r>
    </w:p>
    <w:p>
      <w:r>
        <w:rPr>
          <w:color w:val="5A7D3A"/>
          <w:sz w:val="18"/>
        </w:rPr>
        <w:t>https://pubmed.ncbi.nlm.nih.gov/42607051/</w:t>
      </w:r>
    </w:p>
    <w:p>
      <w:pPr>
        <w:pStyle w:val="Heading2"/>
      </w:pPr>
      <w:r>
        <w:t>Mehrfacherkrankung im Alter erhöht Gesamt-Versorgungsausgaben um 11,6 %; sozioökonomische Ungleichheiten verstärken den Effekt</w:t>
      </w:r>
    </w:p>
    <w:p>
      <w:r>
        <w:rPr>
          <w:i/>
          <w:color w:val="666666"/>
          <w:sz w:val="18"/>
        </w:rPr>
        <w:t>Doheny M et al.  ·  BMJ Open  ·  14.08.2026  ·  PMID 42601104</w:t>
      </w:r>
    </w:p>
    <w:p>
      <w:r>
        <w:t>Querschnittsuntersuchung von 371.583 Personen ≥65 Jahre in Region Stockholm zur Prävalenz und Kostenfolgen von Mehrfacherkrankung.</w:t>
      </w:r>
    </w:p>
    <w:p>
      <w:r>
        <w:rPr>
          <w:b/>
        </w:rPr>
        <w:t xml:space="preserve">Ergebnis: </w:t>
      </w:r>
      <w:r>
        <w:t>Mehrfacherkrankung bei 62,6 % der älteren Erwachsenen. Mit ≥4 Erkrankungen stiegen die Durchschnittsausgaben auf 143.063 SEK (gegenüber 34.346 SEK ohne Erkrankung). Multimorbidität assoziiert mit 11,6 % höheren Gesamtausgaben (Cost Ratio 1,116, KI 1,114–1,118). Tiefste Einkommensgruppe zeigte 3,8 % höhere Ausgaben als höchste Gruppe. Soziale Pflegeausgaben überstiegen ab Alter 80 Jahren die Gesundheitsausgaben.</w:t>
      </w:r>
    </w:p>
    <w:p>
      <w:r>
        <w:rPr>
          <w:b/>
          <w:sz w:val="19"/>
        </w:rPr>
        <w:t xml:space="preserve">Übertragbarkeit: </w:t>
      </w:r>
      <w:r>
        <w:rPr>
          <w:sz w:val="19"/>
        </w:rPr>
        <w:t>Schweden, vergleichbares öffentliches Versicherungssystem und Dokumentation wie Deutschland</w:t>
      </w:r>
    </w:p>
    <w:p>
      <w:r>
        <w:rPr>
          <w:color w:val="5A7D3A"/>
          <w:sz w:val="18"/>
        </w:rPr>
        <w:t>https://pubmed.ncbi.nlm.nih.gov/42601104/</w:t>
      </w:r>
    </w:p>
    <w:p>
      <w:pPr>
        <w:pStyle w:val="Heading2"/>
      </w:pPr>
      <w:r>
        <w:t>Pertussis-Hospitalisierungen bei chronischen Erkrankungen: Hochrisiko-Gruppen und Präventionsbedarf in Frankreich</w:t>
      </w:r>
    </w:p>
    <w:p>
      <w:r>
        <w:rPr>
          <w:i/>
          <w:color w:val="666666"/>
          <w:sz w:val="18"/>
        </w:rPr>
        <w:t>Vargas-Zambrano JC et al.  ·  Euro Surveill  ·  Aug. 2026  ·  PMID 42596896</w:t>
      </w:r>
    </w:p>
    <w:p>
      <w:r>
        <w:t>Retrospektive Analyse von 10.893 Patienten mit Keuchhusten-Hospitalisierungen 2008–2020 in Frankreich nach Präsenz chronischer Grunderkrankungen (Asthma, COPD, Diabetes, Immunsuppression).</w:t>
      </w:r>
    </w:p>
    <w:p>
      <w:r>
        <w:rPr>
          <w:b/>
        </w:rPr>
        <w:t xml:space="preserve">Ergebnis: </w:t>
      </w:r>
      <w:r>
        <w:t>Bei Kindern/Jugendlichen (n=7.212): 17,5 % mit Asthma, 0,9 % mit Immunsuppression. Höchste kumulierte Inzidenzrate bei Immunsuppression (adjustiert CIR 3,6; KI 2,8–4,6). Bei Erwachsenen (n=3.681): 62,4 % mit Asthma/COPD, 16,1 % immunsupprimiert, 12,3 % mit Diabetes. Höchste CIR bei Asthma/COPD (18,6; KI 17,4–19,9). Medianhosp.-kosten für Immunsupprimierte 4.401 EUR. Keine signifikanten Änderungen der Ressourcennutzung vor/nach Hospitalisierung bei Erwachsenen.</w:t>
      </w:r>
    </w:p>
    <w:p>
      <w:r>
        <w:rPr>
          <w:b/>
          <w:sz w:val="19"/>
        </w:rPr>
        <w:t xml:space="preserve">Übertragbarkeit: </w:t>
      </w:r>
      <w:r>
        <w:rPr>
          <w:sz w:val="19"/>
        </w:rPr>
        <w:t>Frankreich, französisches Gesundheitssystem und Krankenversicherungsdaten wie Deutschland</w:t>
      </w:r>
    </w:p>
    <w:p>
      <w:r>
        <w:rPr>
          <w:color w:val="5A7D3A"/>
          <w:sz w:val="18"/>
        </w:rPr>
        <w:t>https://pubmed.ncbi.nlm.nih.gov/42596896/</w:t>
      </w:r>
    </w:p>
    <w:p>
      <w:pPr>
        <w:pStyle w:val="Heading2"/>
      </w:pPr>
      <w:r>
        <w:t>Verzögerte Palliativversorgung in Primärversorgung treibt vermeidbare Notfallabteilungsbesuche bei älteren Menschen mit Mehrfacherkrankung</w:t>
      </w:r>
    </w:p>
    <w:p>
      <w:r>
        <w:rPr>
          <w:i/>
          <w:color w:val="666666"/>
          <w:sz w:val="18"/>
        </w:rPr>
        <w:t>Bring H et al.  ·  Scand J Prim Health Care  ·  12.08.2026  ·  PMID 42583708</w:t>
      </w:r>
    </w:p>
    <w:p>
      <w:r>
        <w:t>Qualitative Befragung von 100 Fachleuten (Ärzte, Pflegekräfte) über Gründe für Notfallabteilungsbesuche bei älteren Patienten mit Mehrfacherkrankung und Palliativbedarf in Stockholm.</w:t>
      </w:r>
    </w:p>
    <w:p>
      <w:r>
        <w:rPr>
          <w:b/>
        </w:rPr>
        <w:t xml:space="preserve">Ergebnis: </w:t>
      </w:r>
      <w:r>
        <w:t>Übergeordnetes Thema: ‚Verzögerte, fragmentierte Palliativversorgung trägt zu ED-Besuchen bei'. Zwei Kategorien identifiziert: (1) Palliativbeschlüsse in Primärversorgung (Erkennen von Bedarf, Initiierung, Einbeziehung von Patienten/Familien); (2) Versorgung zu Hause (Planung, Symptommanagement, Informationstransfer). Fachleute berichteten, dass fehlende Vorlaufplanung zu krisenhaften ED-Besuchen führt, die Patientenwünschen widersprechen.</w:t>
      </w:r>
    </w:p>
    <w:p>
      <w:r>
        <w:rPr>
          <w:b/>
          <w:sz w:val="19"/>
        </w:rPr>
        <w:t xml:space="preserve">Übertragbarkeit: </w:t>
      </w:r>
      <w:r>
        <w:rPr>
          <w:sz w:val="19"/>
        </w:rPr>
        <w:t>Schweden, vergleichbare Primärversorgungsstruktur und Palliativstandards mit Deutschland/DACH</w:t>
      </w:r>
    </w:p>
    <w:p>
      <w:r>
        <w:rPr>
          <w:color w:val="5A7D3A"/>
          <w:sz w:val="18"/>
        </w:rPr>
        <w:t>https://pubmed.ncbi.nlm.nih.gov/42583708/</w:t>
      </w:r>
    </w:p>
    <w:p>
      <w:pPr>
        <w:pStyle w:val="Heading2"/>
      </w:pPr>
      <w:r>
        <w:t>Polypharmazie konzentriert sich auf ältere, multimorbide und sozioökonomisch benachteiligte Personen – Versorgungsmuster in Spanien</w:t>
      </w:r>
    </w:p>
    <w:p>
      <w:r>
        <w:rPr>
          <w:i/>
          <w:color w:val="666666"/>
          <w:sz w:val="18"/>
        </w:rPr>
        <w:t>Aparicio-Rodriguez G et al.  ·  Front Public Health  ·  16.07.2026  ·  PMID 42535037</w:t>
      </w:r>
    </w:p>
    <w:p>
      <w:r>
        <w:t>Querschnittsstudie von 33.534 Personen mit Polypharmazie (≥5 verschiedene ATC4-Medikamentengruppen) in La Rioja, Spanien, zu Verteilung nach Alter, Geschlecht und sozioökonomischem Status.</w:t>
      </w:r>
    </w:p>
    <w:p>
      <w:r>
        <w:rPr>
          <w:b/>
        </w:rPr>
        <w:t xml:space="preserve">Ergebnis: </w:t>
      </w:r>
      <w:r>
        <w:t>Mittlere Medikamentenbelastung 7,07 Gruppen (SD 2,17); 58,4 % erhielten 6–9 Gruppen. 71,8 % gehörten zur unteren Einkommensgruppe, die höchsten Belastungen (≥10 Gruppen) zeigten 14,9 % der Armen gegen 8,0–9,2 % der mittleren und höheren Gruppen. Chronische Grunderkrankungen (Herzinsuffizienz, Nierenkrankheit, Gefäßerkrankung) stark assoziiert mit höherer Medikamentenbelastung.</w:t>
      </w:r>
    </w:p>
    <w:p>
      <w:r>
        <w:rPr>
          <w:b/>
          <w:sz w:val="19"/>
        </w:rPr>
        <w:t xml:space="preserve">Übertragbarkeit: </w:t>
      </w:r>
      <w:r>
        <w:rPr>
          <w:sz w:val="19"/>
        </w:rPr>
        <w:t>Spanien, deutschsprachiger Raum – Datenquellen aus öffentlich finanzierter Versorgung</w:t>
      </w:r>
    </w:p>
    <w:p>
      <w:r>
        <w:rPr>
          <w:color w:val="5A7D3A"/>
          <w:sz w:val="18"/>
        </w:rPr>
        <w:t>https://pubmed.ncbi.nlm.nih.gov/42535037/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NCD und chronische Krankheiten</dc:title>
  <dc:subject/>
  <dc:creator>Monitor Versorgungsforschung</dc:creator>
  <cp:keywords/>
  <dc:description>generated by python-docx</dc:description>
  <cp:lastModifiedBy/>
  <cp:revision>1</cp:revision>
  <dcterms:created xsi:type="dcterms:W3CDTF">2026-10-22T06:00:00Z</dcterms:created>
  <dcterms:modified xsi:type="dcterms:W3CDTF">2026-10-22T06:00:00Z</dcterms:modified>
  <cp:category/>
</cp:coreProperties>
</file>