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10.09.2026  |  6 Studien  |  ncd.m-vf.de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Durchgehende hausärztliche Betreuung senkte COPD-Hospitalisierungen um 55 Prozent</w:t>
      </w:r>
    </w:p>
    <w:p>
      <w:r>
        <w:rPr>
          <w:i/>
          <w:color w:val="666666"/>
          <w:sz w:val="18"/>
        </w:rPr>
        <w:t>Jo AJ et al.  ·  BMJ Open  ·  09.09.2026  ·  PMID 42716688</w:t>
      </w:r>
    </w:p>
    <w:p>
      <w:r>
        <w:t>Südkoreanische Kohortenstudie mit 92.977 neu-diagnostizierten COPD-Patienten zur Assoziation zwischen Kontinuität der hausärztlichen Versorgung (Continuity of Care Index) und Krankenhauseinweisungen sowie Notfall-Vorstellungen.</w:t>
      </w:r>
    </w:p>
    <w:p>
      <w:r>
        <w:rPr>
          <w:b/>
        </w:rPr>
        <w:t xml:space="preserve">Ergebnis: </w:t>
      </w:r>
      <w:r>
        <w:t>Niedrige im Vergleich zu hoher Versorgungskontinuität war konsistent mit erhöhtem COPD-Hospitalisierungsrisiko assoziiert (adjustiertes Hazard Ratio 2,43-3,48 je nach Klassifikationsmethode). Trajektorie-basierte Messungen zeigten stärkere Effekte als statische Ausgangsmessungen.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hat vergleichbares ambulant-stationär-getrenntes System; deutsche Primärversorgung ähnlich strukturiert</w:t>
      </w:r>
    </w:p>
    <w:p>
      <w:r>
        <w:rPr>
          <w:color w:val="5A7D3A"/>
          <w:sz w:val="18"/>
        </w:rPr>
        <w:t>https://pubmed.ncbi.nlm.nih.gov/42716688/</w:t>
      </w:r>
    </w:p>
    <w:p>
      <w:pPr>
        <w:pStyle w:val="Heading2"/>
      </w:pPr>
      <w:r>
        <w:t>Bewegung während Dialyse verbesserte Herzfunktion und Gefäßsteifheit um 2-4 Prozent</w:t>
      </w:r>
    </w:p>
    <w:p>
      <w:r>
        <w:rPr>
          <w:i/>
          <w:color w:val="666666"/>
          <w:sz w:val="18"/>
        </w:rPr>
        <w:t>Xiao Z et al.  ·  BMJ Open  ·  09.09.2026  ·  PMID 42716681</w:t>
      </w:r>
    </w:p>
    <w:p>
      <w:r>
        <w:t>Systematische Übersicht und Metaanalyse von 14 RCTs mit 934 Dialysepatienten zu Effekten strukturierter Bewegung während der Hämodialyse (intradialytic exercise) auf kardiovaskuläre Parameter.</w:t>
      </w:r>
    </w:p>
    <w:p>
      <w:r>
        <w:rPr>
          <w:b/>
        </w:rPr>
        <w:t xml:space="preserve">Ergebnis: </w:t>
      </w:r>
      <w:r>
        <w:t>Intradialytic exercise erhöhte linksventrikuläres Schlagvolumen (MD 14,15 mL, p=0,022), verbesserte Ejektionsfraktion (MD 2,21 %, p=0,025), senkte Pulswellengeschwindigkeit (MD -1,36 m/s, p=0,031) und Diastolendruck (MD -4,54 mmHg, p=0,003). Effekte auf linksventrikuläre Masse und systolischen Blutdruck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RCTs international; Effektstärken für Nierenpatienten relevant, aber Implementierbarkeit abhängig von deutschen Dialysezentren-Strukturen</w:t>
      </w:r>
    </w:p>
    <w:p>
      <w:r>
        <w:rPr>
          <w:color w:val="5A7D3A"/>
          <w:sz w:val="18"/>
        </w:rPr>
        <w:t>https://pubmed.ncbi.nlm.nih.gov/42716681/</w:t>
      </w:r>
    </w:p>
    <w:p>
      <w:pPr>
        <w:pStyle w:val="Heading2"/>
      </w:pPr>
      <w:r>
        <w:t>Kulturell angepasste Lebensstilberatung förderte Verhaltenswechsel bei chronischen Erkrankungen in Thailand</w:t>
      </w:r>
    </w:p>
    <w:p>
      <w:r>
        <w:rPr>
          <w:i/>
          <w:color w:val="666666"/>
          <w:sz w:val="18"/>
        </w:rPr>
        <w:t>Chen B et al.  ·  BMJ Open  ·  09.09.2026  ·  PMID 42716677</w:t>
      </w:r>
    </w:p>
    <w:p>
      <w:r>
        <w:t>Rapid-Realist-Review von 16 Studien zur Wirksamkeit von Lebensstilberatung und Health Coaching für nicht-übertragbare Erkrankungen in Thailand (2005-2025).</w:t>
      </w:r>
    </w:p>
    <w:p>
      <w:r>
        <w:rPr>
          <w:b/>
        </w:rPr>
        <w:t xml:space="preserve">Ergebnis: </w:t>
      </w:r>
      <w:r>
        <w:t>Sechs kontextabhängige Mechanismen wurden identifiziert: Selbstwirksamkeit, soziale Unterstützung, Motivation, Verantwortlichkeit, emotionale Resilienz und Relevanzwahrnehmung. Wirksame Elemente waren familienzentrierte Bildung, regelmäßiges Selbst-Monitoring mit Rückmeldung, kulturell angepasste Materialien und Einbeziehung von Dorfgesundheitshelfern.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Synthese; Prinzipien auf deutsche Primärversorgung mit niedrigerem Gesundheitsalter relevant</w:t>
      </w:r>
    </w:p>
    <w:p>
      <w:r>
        <w:rPr>
          <w:color w:val="5A7D3A"/>
          <w:sz w:val="18"/>
        </w:rPr>
        <w:t>https://pubmed.ncbi.nlm.nih.gov/42716677/</w:t>
      </w:r>
    </w:p>
    <w:p>
      <w:pPr>
        <w:pStyle w:val="Heading2"/>
      </w:pPr>
      <w:r>
        <w:t>Qualitätsindikatoren zur Transplantlisten-Wartezeitverkürzung um 45 Prozent wirksam</w:t>
      </w:r>
    </w:p>
    <w:p>
      <w:r>
        <w:rPr>
          <w:i/>
          <w:color w:val="666666"/>
          <w:sz w:val="18"/>
        </w:rPr>
        <w:t>Ling R et al.  ·  Nephrology (Carlton)  ·  Sept. 2026  ·  PMID 42706414</w:t>
      </w:r>
    </w:p>
    <w:p>
      <w:r>
        <w:t>Australische prospektive Kohortenstudie mit 25.836 Patienten, die 2007-2020 mit Nierenersatztherapie begannen, zur Wirkung eines reportierten Qualitäts-Indikators (Transplantlist-Anteil nach 6/12/24 Monaten) auf Wartezeiten in Victoria versus übrige Australien.</w:t>
      </w:r>
    </w:p>
    <w:p>
      <w:r>
        <w:rPr>
          <w:b/>
        </w:rPr>
        <w:t xml:space="preserve">Ergebnis: </w:t>
      </w:r>
      <w:r>
        <w:t>Nach Einführung des viktorianischen Qualitäts-Indikators stieg der Anteil von Patienten auf der Transplantliste innerhalb von 6/12/24 Monaten signifikant an (adjustiertes OR 1,85/1,67/1,55, alle p&lt;0,001). Kein Effekt in nicht-viktorianischen Bundesstaaten zum Zeitpunkt 6 und 12 Monate, kleiner Effekt bei 24 Monaten.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mit universeller Gesundheitsversorgung; Transferierbarkeit hängt ab von Möglichkeit deutscher Kostenträger, Qualitätsindikatoren für Transplantation zu etablieren</w:t>
      </w:r>
    </w:p>
    <w:p>
      <w:r>
        <w:rPr>
          <w:color w:val="5A7D3A"/>
          <w:sz w:val="18"/>
        </w:rPr>
        <w:t>https://pubmed.ncbi.nlm.nih.gov/42706414/</w:t>
      </w:r>
    </w:p>
    <w:p>
      <w:pPr>
        <w:pStyle w:val="Heading2"/>
      </w:pPr>
      <w:r>
        <w:t>Semaglutide senkte Nierenschädigungsrisiko bei Herz-Nieren-Stoffwechsel-Erkrankungen um 16 Prozent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30.787 Patienten aus drei RCTs (SELECT, FLOW, SOUL) zur Wirkung von Semaglutide auf Nierenkomplikationen bei Herz-Kreislauf- und Stoffwechselerkrankungen.</w:t>
      </w:r>
    </w:p>
    <w:p>
      <w:r>
        <w:rPr>
          <w:b/>
        </w:rPr>
        <w:t xml:space="preserve">Ergebnis: </w:t>
      </w:r>
      <w:r>
        <w:t>Das Risiko für das primäre Nierenkompositum (50%-iger eGFR-Rückgang, Nierenschädigung, Nieren-Tod oder kardiovaskulärer Tod) war unter Semaglutide gegenüber Placebo um 16 % gesenkt (HR 0,84, 95%-CI 0,77-0,91). Das Sicherheitsprofil war günstig. Die Effekte traten unabhängig von Diabetes-Status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Vergleichbare Sozialversicherungssysteme; Erkrankung und Behand­lungskonzept auch im deutschen System relevant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C-reaktives Protein-Triglyzerid-Index sagte Cardio-Renal-Metabolic-Multimorbidität voraus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Kohortenstudie mit 374.513 Teilnehmern aus UK Biobank und 6.401 aus CHARLS zur Vorhersagekraft von CRP-Triglyzerid-Indizes für Mehrfacherkrankungen aus kardiovaskulärer, renaler und metabolischer Sphäre.</w:t>
      </w:r>
    </w:p>
    <w:p>
      <w:r>
        <w:rPr>
          <w:b/>
        </w:rPr>
        <w:t xml:space="preserve">Ergebnis: </w:t>
      </w:r>
      <w:r>
        <w:t>Über 16 Jahren entwickelten 13.315 Patienten cardio-renal-metabolic multimorbidity. Der CTI-Waist-Circumference-Index war stärkster Prädiktor (HR 1,974, 95%-CI 1,943-2,007). Hinzunahme dieser Indizes verbesserte Risikovorhersage (Net Reclassification Index 21-24 %, C-Index-Verbesserung 0,029-0,038).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ähnliche Epidemiologie, aber Generalisierbarkeit auf Deutschland limitiert durch bevölkerungsabhängige Unterschiede</w:t>
      </w:r>
    </w:p>
    <w:p>
      <w:r>
        <w:rPr>
          <w:color w:val="5A7D3A"/>
          <w:sz w:val="18"/>
        </w:rPr>
        <w:t>https://pubmed.ncbi.nlm.nih.gov/42542252/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