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Nicht uebertragbare Krankheiten</w:t>
      </w:r>
    </w:p>
    <w:p>
      <w:r>
        <w:rPr>
          <w:i/>
          <w:color w:val="666666"/>
          <w:sz w:val="18"/>
        </w:rPr>
        <w:t>Stand: 21.08.2026  |  13 Studien  |  ncd.m-vf.de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Self-Management-Interventionen zeigen Verbesserung in Verhalten, aber nicht in Lebensqualität bei Mehrfacherkrankung</w:t>
      </w:r>
    </w:p>
    <w:p>
      <w:r>
        <w:rPr>
          <w:i/>
          <w:color w:val="666666"/>
          <w:sz w:val="18"/>
        </w:rPr>
        <w:t>Hopwood E et al.  ·  J Eval Clin Pract  ·  Aug. 2026  ·  PMID 42623506</w:t>
      </w:r>
    </w:p>
    <w:p>
      <w:r>
        <w:t>Systematische Übersicht von 28 Studien zu Wirksamkeit und Erfahrungen mit Self-Management-Interventionen für Erwachsene mit Mehrfacherkrankung (quantitativ und qualitativ).</w:t>
      </w:r>
    </w:p>
    <w:p>
      <w:r>
        <w:rPr>
          <w:b/>
        </w:rPr>
        <w:t xml:space="preserve">Ergebnis: </w:t>
      </w:r>
      <w:r>
        <w:t>Quantitative Evidenz zeigte bescheidene Verbesserungen in spezifischen Self-Management-Verhaltensweisen (gesundheitsorientierte Aktivitäten, Selbstmonitoring), aber wenig bis kein Effekt auf Lebensqualität oder psychologische Outcomes. Qualitative Befunde deuteten auf subjektive Verbesserungen in Lebensqualität und psychischer Gesundheit hin – Diskrepanz unterstreicht Bedarf nach validierten Mehrfacherkrankungs-spezifischen Outcome-Maßen.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vorwiegend europäisch, direkt auf Primärversorgung übertragbar</w:t>
      </w:r>
    </w:p>
    <w:p>
      <w:r>
        <w:rPr>
          <w:color w:val="5A7D3A"/>
          <w:sz w:val="18"/>
        </w:rPr>
        <w:t>https://pubmed.ncbi.nlm.nih.gov/42623506/</w:t>
      </w:r>
    </w:p>
    <w:p>
      <w:pPr>
        <w:pStyle w:val="Heading2"/>
      </w:pPr>
      <w:r>
        <w:t>Digitales Multikomponent-Programm reduziert Angst und Depression bei Mehrfacherkrankung um 2,6–2,9 Punkte auf HADS</w:t>
      </w:r>
    </w:p>
    <w:p>
      <w:r>
        <w:rPr>
          <w:i/>
          <w:color w:val="666666"/>
          <w:sz w:val="18"/>
        </w:rPr>
        <w:t>Johnson E et al.  ·  PLoS Med  ·  20.08.2026  ·  PMID 42623335</w:t>
      </w:r>
    </w:p>
    <w:p>
      <w:r>
        <w:t>Dreiarmige randomisierte Studie (825 Patienten über 13 Länder, online durchgeführt 2023–2024) zu Effekt eines digitalen Programms mit oder ohne menschliche Unterstützung versus Warteliste bei Angst und Depression bei chronischen Erkrankungen.</w:t>
      </w:r>
    </w:p>
    <w:p>
      <w:r>
        <w:rPr>
          <w:b/>
        </w:rPr>
        <w:t xml:space="preserve">Ergebnis: </w:t>
      </w:r>
      <w:r>
        <w:t>Primärer Vergleich (eMPower + Human Support vs. Kontrolle): HADS-Gesamtscore verbesserte sich um 2,9 Punkte (95%-KI 2,0–3,8; p&lt;0,001). Self-directed eMPower zeigte ähnliche Verbesserung (2,6 Punkte; 95%-KI 1,8–3,5; p&lt;0,001); kein signifikanter Unterschied zwischen Interventionen. Verbesserungen auch bei Müdigkeit (MFIS) und Lebensqualität (SF-12, EQ-5D-5L). Keine unerwünschten Ereignisse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Internetbasiert, international, aber auf Mehrfacherkrankung generell bezogen, gute Übertragbarkeit</w:t>
      </w:r>
    </w:p>
    <w:p>
      <w:r>
        <w:rPr>
          <w:color w:val="5A7D3A"/>
          <w:sz w:val="18"/>
        </w:rPr>
        <w:t>https://pubmed.ncbi.nlm.nih.gov/42623335/</w:t>
      </w:r>
    </w:p>
    <w:p>
      <w:pPr>
        <w:pStyle w:val="Heading2"/>
      </w:pPr>
      <w:r>
        <w:t>Psychische Erkrankungen mit 1,85- bis 3,16-fach erhöhtem Risiko für systemische Mehrfacherkrankung bei jungen Frauen</w:t>
      </w:r>
    </w:p>
    <w:p>
      <w:r>
        <w:rPr>
          <w:i/>
          <w:color w:val="666666"/>
          <w:sz w:val="18"/>
        </w:rPr>
        <w:t>Halstead S et al.  ·  Lancet Psychiatry  ·  Sept. 2026  ·  PMID 42586082</w:t>
      </w:r>
    </w:p>
    <w:p>
      <w:r>
        <w:t>Kohortenstudie mit 30.189 Patienten mit Schizophrenie-Spektrum/bipolaren Störungen und 148.476 Kontrollen (Queensland, Australien, 2000–2023) zu Inzidenz und absoluten Unterschieden in systemischer Mehrfacherkrankung (Multiple Systeme betroffen).</w:t>
      </w:r>
    </w:p>
    <w:p>
      <w:r>
        <w:rPr>
          <w:b/>
        </w:rPr>
        <w:t xml:space="preserve">Ergebnis: </w:t>
      </w:r>
      <w:r>
        <w:t>Relative Inzidenz der Mehrfacherkrankung signifikant erhöht: mindestens ein System HR=1,85 (95%-KI 1,81–1,88), fünf Systeme HR=3,16 (95%-KI 3,01–3,30). Bei 20 Jahren absolute Cumulative-Incidence-Unterschiede: 9,79 zusätzliche Fälle pro 100 Personen (≥1 System), höchste Effekte bei Frauen &lt;25 Jahren (HR=9,24 für ≥5 Systeme; 95%-KI 7,30–11,71).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(vergleichbar mit Mittelsystemländern), großes Register, aber klinisches Risikoprofil generell übertragbar</w:t>
      </w:r>
    </w:p>
    <w:p>
      <w:r>
        <w:rPr>
          <w:color w:val="5A7D3A"/>
          <w:sz w:val="18"/>
        </w:rPr>
        <w:t>https://pubmed.ncbi.nlm.nih.gov/42586082/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COPD mit Typ-2-Entzündung und Exazerbationen trotz Dreifachtherapie – 3-fach höhere Kosten und Hospitalisierungsrate</w:t>
      </w:r>
    </w:p>
    <w:p>
      <w:r>
        <w:rPr>
          <w:i/>
          <w:color w:val="666666"/>
          <w:sz w:val="18"/>
        </w:rPr>
        <w:t>Narendra DK et al.  ·  Int J Chron Obstruct Pulmon Dis  ·  13.08.2026  ·  PMID 42609821</w:t>
      </w:r>
    </w:p>
    <w:p>
      <w:r>
        <w:t>Retrospektive Analyse der Optum-Datenbank (über 28 Millionen Versicherte, USA) zu Exazerbationen und Versorgungslast bei COPD-Patienten mit Typ-2-Entzündung (erhöhte Eosinophile) und Exazerbationshistorie trotz Dreifachtherapie.</w:t>
      </w:r>
    </w:p>
    <w:p>
      <w:r>
        <w:rPr>
          <w:b/>
        </w:rPr>
        <w:t xml:space="preserve">Ergebnis: </w:t>
      </w:r>
      <w:r>
        <w:t>Bei 13.840 Patienten (6.389 mit Exazerbationen und Eosinophile ≥150 Zellen/μL): durchschnittlich 1,58 COPD-Exazerbationen/Jahr vs. 0,52 in der Kontrollgruppe; um ~6.700 USD höhere jährliche Kosten; höhere Notaufnahme- und Hospitalisierungsraten trotz optimierter medikamentöser Therapie. Ungedeckter Versorgungsbedarf.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Effektivitätsbefund (Exazerbationslast trotz optimaler medikamentöser Versorgung) übertragbar auf Deutschland.</w:t>
      </w:r>
    </w:p>
    <w:p>
      <w:r>
        <w:rPr>
          <w:color w:val="5A7D3A"/>
          <w:sz w:val="18"/>
        </w:rPr>
        <w:t>https://pubmed.ncbi.nlm.nih.gov/42609821/</w:t>
      </w:r>
    </w:p>
    <w:p>
      <w:pPr>
        <w:pStyle w:val="Heading2"/>
      </w:pPr>
      <w:r>
        <w:t>Cluster-Analyse identifiziert sechs Subtypen hochgradig multimorbider Patienten für gezielte Interventionen im englischen Gesundheitssystem</w:t>
      </w:r>
    </w:p>
    <w:p>
      <w:r>
        <w:rPr>
          <w:i/>
          <w:color w:val="666666"/>
          <w:sz w:val="18"/>
        </w:rPr>
        <w:t>Wood RM et al.  ·  Health Care Manag Sci  ·  07.08.2026  ·  PMID 42566017</w:t>
      </w:r>
    </w:p>
    <w:p>
      <w:r>
        <w:t>Clusteranalyse von 19.520 Hochmorbidität-Patienten (top 3% von 1 Million Versicherten, &gt;1/5 der Kosten) in Bristol, um heterogene Subgruppen und entsprechende Versorgungsziele zu definieren.</w:t>
      </w:r>
    </w:p>
    <w:p>
      <w:r>
        <w:rPr>
          <w:b/>
        </w:rPr>
        <w:t xml:space="preserve">Ergebnis: </w:t>
      </w:r>
      <w:r>
        <w:t>Sechs Cluster identifiziert: Ältere ohne Demenz (n=1.243); Krebs (n=1.055); Jünger/komplex (n=2.199); Atemwege (n=4.743); Kardiovaskulär (n=6.140); Demenz (n=4.579). Jeder Cluster erhielt wertbasierte Versorgungsziele und spezifische klinische Managemententscheidungen. Heterogenität innerhalb der Hochmorbidität erfordert maßgeschneiderte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NHS-Struktur, ähnliche Versorgungsmotivation.</w:t>
      </w:r>
    </w:p>
    <w:p>
      <w:r>
        <w:rPr>
          <w:color w:val="5A7D3A"/>
          <w:sz w:val="18"/>
        </w:rPr>
        <w:t>https://pubmed.ncbi.nlm.nih.gov/42566017/</w:t>
      </w:r>
    </w:p>
    <w:p>
      <w:pPr>
        <w:pStyle w:val="Heading2"/>
      </w:pPr>
      <w:r>
        <w:t>Capability Cards unterstützen personzentrierte Gespräche bei Mehrfacherkrankungen in spanischer Primärversorgung – validiert</w:t>
      </w:r>
    </w:p>
    <w:p>
      <w:r>
        <w:rPr>
          <w:i/>
          <w:color w:val="666666"/>
          <w:sz w:val="18"/>
        </w:rPr>
        <w:t>Llubes-Arrià L et al.  ·  Prim Health Care Res Dev  ·  06.08.2026  ·  PMID 42559972</w:t>
      </w:r>
    </w:p>
    <w:p>
      <w:r>
        <w:t>Methodische Validierungsstudie der spanischen Übersetzung und kulturellen Anpassung der Capability Cards als Werkzeug für Patienten mit Mehrfacherkrankung in spanischen Gemeinschaftspraxen.</w:t>
      </w:r>
    </w:p>
    <w:p>
      <w:r>
        <w:rPr>
          <w:b/>
        </w:rPr>
        <w:t xml:space="preserve">Ergebnis: </w:t>
      </w:r>
      <w:r>
        <w:t>Hohe inhaltsliche Validität in allen Gruppen (Content Validity Index: Experten 0,88; Fachkräfte 0,96; Zielpopulation 0,98); ausgezeichnete Usability (System Usability Scale). Capability Cards zeigten starke kulturelle Angemessenheit und Eignung für strukturierte, personzentrierte Gespräche zur Förderung von Empowerment und partizipatorischer Versorgung bei Mehrfacherkrankung.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ambulante Primärversorgung ähnlich Deutschland.</w:t>
      </w:r>
    </w:p>
    <w:p>
      <w:r>
        <w:rPr>
          <w:color w:val="5A7D3A"/>
          <w:sz w:val="18"/>
        </w:rPr>
        <w:t>https://pubmed.ncbi.nlm.nih.gov/42559972/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Hybrid-Versorgung für COPD-Patienten mit hohem Risiko: Pflegeleitung, Personalisierung und digitale Unterstützung zeigen Machbarkeit</w:t>
      </w:r>
    </w:p>
    <w:p>
      <w:r>
        <w:rPr>
          <w:i/>
          <w:color w:val="666666"/>
          <w:sz w:val="18"/>
        </w:rPr>
        <w:t>Gómez-López A et al.  ·  J Med Internet Res  ·  18.08.2026  ·  PMID 42612086</w:t>
      </w:r>
    </w:p>
    <w:p>
      <w:r>
        <w:t>Co-Design-Studie in Barcelona mit vier PDSA-Zyklen zur Operationalisierung einer Hybrid-Care-Intervention (Pflege vor Ort, Personalisierung, digitale Unterstützung) für Patienten mit COPD, Asthma und Bronchiektasen bei exazerbierter und stabiler Erkrankung.</w:t>
      </w:r>
    </w:p>
    <w:p>
      <w:r>
        <w:rPr>
          <w:b/>
        </w:rPr>
        <w:t xml:space="preserve">Ergebnis: </w:t>
      </w:r>
      <w:r>
        <w:t>Am Ende PDSA-3 (August 2025) wurde Operationalisierung dreier Kernkomponenten erreicht: (1) Nurse-Led-Versorgung vor Ort, (2) Personalisierung der Intervention, (3) fortgeschrittene digitale Unterstützung. Konsens unter allen Stakeholdern zu Anwendbarkeit im klinisch stabilen und exazerbiertem Zustand sowie zu kurzfristiger Implementierungs- und nachhaltiger Übernahmestrategie.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katalanisches Gesundheitssystem – Erkenntnisse zur Integration digitaler Tools in koordinierte Versorgung relevant</w:t>
      </w:r>
    </w:p>
    <w:p>
      <w:r>
        <w:rPr>
          <w:color w:val="5A7D3A"/>
          <w:sz w:val="18"/>
        </w:rPr>
        <w:t>https://pubmed.ncbi.nlm.nih.gov/42612086/</w:t>
      </w:r>
    </w:p>
    <w:p>
      <w:pPr>
        <w:pStyle w:val="Heading2"/>
      </w:pPr>
      <w:r>
        <w:t>Patienten mit eosinophiler COPD und Exazerbationen haben hohes Hospitalisierungs- und Kostenrisiko trotz Dreifachtherapie</w:t>
      </w:r>
    </w:p>
    <w:p>
      <w:r>
        <w:rPr>
          <w:i/>
          <w:color w:val="666666"/>
          <w:sz w:val="18"/>
        </w:rPr>
        <w:t>Di Giorgi N et al.  ·  Int J Chron Obstruct Pulmon Dis  ·  13.08.2026  ·  PMID 42609817</w:t>
      </w:r>
    </w:p>
    <w:p>
      <w:r>
        <w:t>Reale-Welt-Datenanalyse von 3.279 COPD-Patienten in einem italienischen Tertiärkrankenhaus zur Identifikation von Patienten mit erhöhten Eosinophilen, die für zielgerichtete biologische Therapien (Dupilumab) infrage kommen.</w:t>
      </w:r>
    </w:p>
    <w:p>
      <w:r>
        <w:rPr>
          <w:b/>
        </w:rPr>
        <w:t xml:space="preserve">Ergebnis: </w:t>
      </w:r>
      <w:r>
        <w:t>Unter 224 Patienten mit Exazerbationen unter Dreifachtherapie hatten 87 (38,8 %) mindestens eine Eosinophilenzahl ≥300 Zellen/µL (Median-Messwerte 210 [IQR 130–335] Zellen/µL). Patienten mit EOS ≥300 gegenüber &lt;300: höhere Krankenhausaufnahmen (23,0 % vs. 12,2 %; p=0,005), größere Komorbiditätslast (71,3 % kardiovaskulär, 59,8 % metabolisch), numerisch höhere Gesamtsterblichkeit (19,5 % vs. 13,0 %, nicht signifikant), mehr jährliche Kontakte (4,5 vs. 3,0;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europäisches Krankenversicherungssystem; Eosinophil-Monitoring zur Therapiesteuerung</w:t>
      </w:r>
    </w:p>
    <w:p>
      <w:r>
        <w:rPr>
          <w:color w:val="5A7D3A"/>
          <w:sz w:val="18"/>
        </w:rPr>
        <w:t>https://pubmed.ncbi.nlm.nih.gov/42609817/</w:t>
      </w:r>
    </w:p>
    <w:p>
      <w:pPr>
        <w:pStyle w:val="Heading2"/>
      </w:pPr>
      <w:r>
        <w:t>Strukturierte Transitionsversorgung erhöht Übergangsbereitschaft junger Erwachsener mit chronischen Erkrankungen (COCCOS-Protokoll)</w:t>
      </w:r>
    </w:p>
    <w:p>
      <w:r>
        <w:rPr>
          <w:i/>
          <w:color w:val="666666"/>
          <w:sz w:val="18"/>
        </w:rPr>
        <w:t>Van Wilder L et al.  ·  PLoS One  ·  17.08.2026  ·  PMID 42607051</w:t>
      </w:r>
    </w:p>
    <w:p>
      <w:r>
        <w:t>Protokoll einer quasi-experimentellen Studie zur Evaluation eines co-gestalteten Übergangsprogramms von Kindermedizin zu Erwachsenenmedizin bei Patienten mit Typ-1-Diabetes, Asthma oder Adipositas in Belgien.</w:t>
      </w:r>
    </w:p>
    <w:p>
      <w:r>
        <w:rPr>
          <w:b/>
        </w:rPr>
        <w:t xml:space="preserve">Ergebnis: </w:t>
      </w:r>
      <w:r>
        <w:t>Ziel ist Test von vier strukturierten Konsultationen über 13–16 Monate. Primäres Outcome: Transition Readiness Assessment Questionnaire. Sekundäroutcomes: Patient Empowerment, Therapietreue, gesundheitsbezogene Lebensqualität, psychische Gesundheit. Kosteneffektivität aus Payer-Perspektive mit Quality-Adjusted Life Years gemessen. Mixed-Methods-Prozessevaluationen geplant. Im Stadium PDSA-3 (August 2025); Ergebnisse erwartet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Versicherungssysteme und Versorgungspfade wie deutschsprachiger Raum</w:t>
      </w:r>
    </w:p>
    <w:p>
      <w:r>
        <w:rPr>
          <w:color w:val="5A7D3A"/>
          <w:sz w:val="18"/>
        </w:rPr>
        <w:t>https://pubmed.ncbi.nlm.nih.gov/42607051/</w:t>
      </w:r>
    </w:p>
    <w:p>
      <w:pPr>
        <w:pStyle w:val="Heading2"/>
      </w:pPr>
      <w:r>
        <w:t>Mehrfacherkrankung im Alter erhöht Gesamt-Versorgungsausgaben um 11,6 %; sozioökonomische Ungleichheiten verstärken den Effekt</w:t>
      </w:r>
    </w:p>
    <w:p>
      <w:r>
        <w:rPr>
          <w:i/>
          <w:color w:val="666666"/>
          <w:sz w:val="18"/>
        </w:rPr>
        <w:t>Doheny M et al.  ·  BMJ Open  ·  14.08.2026  ·  PMID 42601104</w:t>
      </w:r>
    </w:p>
    <w:p>
      <w:r>
        <w:t>Querschnittsuntersuchung von 371.583 Personen ≥65 Jahre in Region Stockholm zur Prävalenz und Kostenfolgen von Mehrfacherkrankung.</w:t>
      </w:r>
    </w:p>
    <w:p>
      <w:r>
        <w:rPr>
          <w:b/>
        </w:rPr>
        <w:t xml:space="preserve">Ergebnis: </w:t>
      </w:r>
      <w:r>
        <w:t>Mehrfacherkrankung bei 62,6 % der älteren Erwachsenen. Mit ≥4 Erkrankungen stiegen die Durchschnittsausgaben auf 143.063 SEK (gegenüber 34.346 SEK ohne Erkrankung). Multimorbidität assoziiert mit 11,6 % höheren Gesamtausgaben (Cost Ratio 1,116, KI 1,114–1,118). Tiefste Einkommensgruppe zeigte 3,8 % höhere Ausgaben als höchste Gruppe. Soziale Pflegeausgaben überstiegen ab Alter 80 Jahren die Gesundheitsausgaben.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Versicherungssystem und Dokumentation wie Deutschland</w:t>
      </w:r>
    </w:p>
    <w:p>
      <w:r>
        <w:rPr>
          <w:color w:val="5A7D3A"/>
          <w:sz w:val="18"/>
        </w:rPr>
        <w:t>https://pubmed.ncbi.nlm.nih.gov/42601104/</w:t>
      </w:r>
    </w:p>
    <w:p>
      <w:pPr>
        <w:pStyle w:val="Heading2"/>
      </w:pPr>
      <w:r>
        <w:t>Pertussis-Hospitalisierungen bei chronischen Erkrankungen: Hochrisiko-Gruppen und Präventionsbedarf in Frankreich</w:t>
      </w:r>
    </w:p>
    <w:p>
      <w:r>
        <w:rPr>
          <w:i/>
          <w:color w:val="666666"/>
          <w:sz w:val="18"/>
        </w:rPr>
        <w:t>Vargas-Zambrano JC et al.  ·  Euro Surveill  ·  Aug. 2026  ·  PMID 42596896</w:t>
      </w:r>
    </w:p>
    <w:p>
      <w:r>
        <w:t>Retrospektive Analyse von 10.893 Patienten mit Keuchhusten-Hospitalisierungen 2008–2020 in Frankreich nach Präsenz chronischer Grunderkrankungen (Asthma, COPD, Diabetes, Immunsuppression).</w:t>
      </w:r>
    </w:p>
    <w:p>
      <w:r>
        <w:rPr>
          <w:b/>
        </w:rPr>
        <w:t xml:space="preserve">Ergebnis: </w:t>
      </w:r>
      <w:r>
        <w:t>Bei Kindern/Jugendlichen (n=7.212): 17,5 % mit Asthma, 0,9 % mit Immunsuppression. Höchste kumulierte Inzidenzrate bei Immunsuppression (adjustiert CIR 3,6; KI 2,8–4,6). Bei Erwachsenen (n=3.681): 62,4 % mit Asthma/COPD, 16,1 % immunsupprimiert, 12,3 % mit Diabetes. Höchste CIR bei Asthma/COPD (18,6; KI 17,4–19,9). Medianhosp.-kosten für Immunsupprimierte 4.401 EUR. Keine signifikanten Änderungen der Ressourcennutzung vor/nach Hospitalisierung bei Erwachsenen.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Gesundheitssystem und Krankenversicherungsdaten wie Deutschland</w:t>
      </w:r>
    </w:p>
    <w:p>
      <w:r>
        <w:rPr>
          <w:color w:val="5A7D3A"/>
          <w:sz w:val="18"/>
        </w:rPr>
        <w:t>https://pubmed.ncbi.nlm.nih.gov/42596896/</w:t>
      </w:r>
    </w:p>
    <w:p>
      <w:pPr>
        <w:pStyle w:val="Heading2"/>
      </w:pPr>
      <w:r>
        <w:t>Verzögerte Palliativversorgung in Primärversorgung treibt vermeidbare Notfallabteilungsbesuche bei älteren Menschen mit Mehrfacherkrankung</w:t>
      </w:r>
    </w:p>
    <w:p>
      <w:r>
        <w:rPr>
          <w:i/>
          <w:color w:val="666666"/>
          <w:sz w:val="18"/>
        </w:rPr>
        <w:t>Bring H et al.  ·  Scand J Prim Health Care  ·  12.08.2026  ·  PMID 42583708</w:t>
      </w:r>
    </w:p>
    <w:p>
      <w:r>
        <w:t>Qualitative Befragung von 100 Fachleuten (Ärzte, Pflegekräfte) über Gründe für Notfallabteilungsbesuche bei älteren Patienten mit Mehrfacherkrankung und Palliativbedarf in Stockholm.</w:t>
      </w:r>
    </w:p>
    <w:p>
      <w:r>
        <w:rPr>
          <w:b/>
        </w:rPr>
        <w:t xml:space="preserve">Ergebnis: </w:t>
      </w:r>
      <w:r>
        <w:t>Übergeordnetes Thema: ‚Verzögerte, fragmentierte Palliativversorgung trägt zu ED-Besuchen bei'. Zwei Kategorien identifiziert: (1) Palliativbeschlüsse in Primärversorgung (Erkennen von Bedarf, Initiierung, Einbeziehung von Patienten/Familien); (2) Versorgung zu Hause (Planung, Symptommanagement, Informationstransfer). Fachleute berichteten, dass fehlende Vorlaufplanung zu krisenhaften ED-Besuchen führt, die Patientenwünschen widersprechen.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Primärversorgungsstruktur und Palliativstandards mit Deutschland/DACH</w:t>
      </w:r>
    </w:p>
    <w:p>
      <w:r>
        <w:rPr>
          <w:color w:val="5A7D3A"/>
          <w:sz w:val="18"/>
        </w:rPr>
        <w:t>https://pubmed.ncbi.nlm.nih.gov/42583708/</w:t>
      </w:r>
    </w:p>
    <w:p>
      <w:pPr>
        <w:pStyle w:val="Heading2"/>
      </w:pPr>
      <w:r>
        <w:t>Polypharmazie konzentriert sich auf ältere, multimorbide und sozioökonomisch benachteiligte Personen – Versorgungsmuster in Spanien</w:t>
      </w:r>
    </w:p>
    <w:p>
      <w:r>
        <w:rPr>
          <w:i/>
          <w:color w:val="666666"/>
          <w:sz w:val="18"/>
        </w:rPr>
        <w:t>Aparicio-Rodriguez G et al.  ·  Front Public Health  ·  16.07.2026  ·  PMID 42535037</w:t>
      </w:r>
    </w:p>
    <w:p>
      <w:r>
        <w:t>Querschnittsstudie von 33.534 Personen mit Polypharmazie (≥5 verschiedene ATC4-Medikamentengruppen) in La Rioja, Spanien, zu Verteilung nach Alter, Geschlecht und sozioökonomischem Status.</w:t>
      </w:r>
    </w:p>
    <w:p>
      <w:r>
        <w:rPr>
          <w:b/>
        </w:rPr>
        <w:t xml:space="preserve">Ergebnis: </w:t>
      </w:r>
      <w:r>
        <w:t>Mittlere Medikamentenbelastung 7,07 Gruppen (SD 2,17); 58,4 % erhielten 6–9 Gruppen. 71,8 % gehörten zur unteren Einkommensgruppe, die höchsten Belastungen (≥10 Gruppen) zeigten 14,9 % der Armen gegen 8,0–9,2 % der mittleren und höheren Gruppen. Chronische Grunderkrankungen (Herzinsuffizienz, Nierenkrankheit, Gefäßerkrankung) stark assoziiert mit höherer Medikamentenbelastung.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deutschsprachiger Raum – Datenquellen aus öffentlich finanzierter Versorgung</w:t>
      </w:r>
    </w:p>
    <w:p>
      <w:r>
        <w:rPr>
          <w:color w:val="5A7D3A"/>
          <w:sz w:val="18"/>
        </w:rPr>
        <w:t>https://pubmed.ncbi.nlm.nih.gov/42535037/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