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24.08.2026  |  1 Studien  |  ncd.m-vf.de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Kontinuität der Versorgung senkt Krankenhauseinweisungen und Sterblichkeit bei COPD um 25–63 %</w:t>
      </w:r>
    </w:p>
    <w:p>
      <w:r>
        <w:rPr>
          <w:i/>
          <w:color w:val="666666"/>
          <w:sz w:val="18"/>
        </w:rPr>
        <w:t>Ko J et al.  ·  Int J Chron Obstruct Pulmon Dis  ·  18.08.2026  ·  PMID 42633418</w:t>
      </w:r>
    </w:p>
    <w:p>
      <w:r>
        <w:t>Retrospektive südkoreanische Kohortenstudie mit 29.316 neu diagnostizierten COPD-Patienten aus nationalen Versicherungsdaten 2002–2019 zur Wirkung der Versorgungskontinuität (CoC) auf Krankenhauseinweisungen und Sterblichkeit.</w:t>
      </w:r>
    </w:p>
    <w:p>
      <w:r>
        <w:rPr>
          <w:b/>
        </w:rPr>
        <w:t xml:space="preserve">Ergebnis: </w:t>
      </w:r>
      <w:r>
        <w:t>Niedrige CoC-Werte (&lt;0,7) assoziiert mit erhöhtem Risiko für 3-Jahres-Exazerbations-Krankenhauseinweisung (HR 1,63, 95% CI 1,45–1,83) und allgemeine Mortalität (HR 1,25, 95% CI 1,11–1,40) vs. hohe CoC. Progressiv: Intermediate CoC (0,4–0,7) HR 1,61 für Einweisungen und 1,24 für Mortalität; sehr niedrig (&lt;0,4) HR 1,65 und 1,26. Notaufnahmen HR 1,48, allgemeine Hospitalisierungen HR 1,70 bei niedriger CoC. Befunde konsistent über alternative Kontinuitäts-Indizes. Fragmentierte ambulante Versorgung erhöht vermeidbare Krankenhaus-Kontakte und Todesfälle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nationale Versicherungsdaten, zeigt Bedeutung von Kontinuität unabhängig vom Finanzsystem</w:t>
      </w:r>
    </w:p>
    <w:p>
      <w:r>
        <w:rPr>
          <w:color w:val="5A7D3A"/>
          <w:sz w:val="18"/>
        </w:rPr>
        <w:t>https://pubmed.ncbi.nlm.nih.gov/42633418/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